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50BD" w:rsidR="00D46C7A" w:rsidP="00D46C7A" w:rsidRDefault="00D46C7A" w14:paraId="5197BE2C" w14:textId="77777777">
      <w:pPr>
        <w:jc w:val="center"/>
        <w:rPr>
          <w:rFonts w:asciiTheme="majorBidi" w:hAnsiTheme="majorBidi" w:cstheme="majorBidi"/>
          <w:b/>
          <w:bCs/>
        </w:rPr>
      </w:pPr>
      <w:r w:rsidRPr="002250BD">
        <w:rPr>
          <w:rFonts w:asciiTheme="majorBidi" w:hAnsiTheme="majorBidi" w:cstheme="majorBidi"/>
          <w:b/>
          <w:bCs/>
        </w:rPr>
        <w:t>REAL ESTATE PURCHASE AGREEMENT</w:t>
      </w:r>
    </w:p>
    <w:p w:rsidRPr="002250BD" w:rsidR="00D46C7A" w:rsidP="00D46C7A" w:rsidRDefault="00D46C7A" w14:paraId="4567896E" w14:textId="77777777">
      <w:pPr>
        <w:jc w:val="both"/>
        <w:rPr>
          <w:rFonts w:asciiTheme="majorBidi" w:hAnsiTheme="majorBidi" w:cstheme="majorBidi"/>
          <w:b/>
          <w:bCs/>
        </w:rPr>
      </w:pPr>
    </w:p>
    <w:p w:rsidRPr="002250BD" w:rsidR="00D46C7A" w:rsidP="00D46C7A" w:rsidRDefault="00D46C7A" w14:paraId="30102CEF" w14:textId="77777777">
      <w:pPr>
        <w:jc w:val="both"/>
        <w:rPr>
          <w:rFonts w:asciiTheme="majorBidi" w:hAnsiTheme="majorBidi" w:cstheme="majorBidi"/>
          <w:b/>
          <w:bCs/>
        </w:rPr>
      </w:pPr>
    </w:p>
    <w:p w:rsidRPr="002250BD" w:rsidR="00D46C7A" w:rsidP="00D46C7A" w:rsidRDefault="00D46C7A" w14:paraId="77989CD8" w14:textId="77777777">
      <w:pPr>
        <w:pStyle w:val="BodyTextFirstIndent"/>
        <w:jc w:val="both"/>
        <w:rPr>
          <w:rFonts w:asciiTheme="majorBidi" w:hAnsiTheme="majorBidi" w:cstheme="majorBidi"/>
        </w:rPr>
      </w:pPr>
      <w:r w:rsidRPr="002250BD">
        <w:rPr>
          <w:rFonts w:asciiTheme="majorBidi" w:hAnsiTheme="majorBidi" w:cstheme="majorBidi"/>
          <w:b/>
          <w:bCs/>
        </w:rPr>
        <w:t>THIS REAL ESTATE PURCHASE AGREEMENT</w:t>
      </w:r>
      <w:r w:rsidRPr="002250BD">
        <w:rPr>
          <w:rFonts w:asciiTheme="majorBidi" w:hAnsiTheme="majorBidi" w:cstheme="majorBidi"/>
        </w:rPr>
        <w:t xml:space="preserve"> (“Agreement”) is made and entered into by and among </w:t>
      </w:r>
      <w:r w:rsidRPr="002250BD">
        <w:rPr>
          <w:rFonts w:asciiTheme="majorBidi" w:hAnsiTheme="majorBidi" w:cstheme="majorBidi"/>
          <w:bCs/>
        </w:rPr>
        <w:t xml:space="preserve">the </w:t>
      </w:r>
      <w:r w:rsidRPr="002250BD">
        <w:rPr>
          <w:rFonts w:asciiTheme="majorBidi" w:hAnsiTheme="majorBidi" w:cstheme="majorBidi"/>
          <w:b/>
        </w:rPr>
        <w:t>CITY OF MONTGOMERY, ALABAMA</w:t>
      </w:r>
      <w:r w:rsidRPr="002250BD">
        <w:rPr>
          <w:rFonts w:asciiTheme="majorBidi" w:hAnsiTheme="majorBidi" w:cstheme="majorBidi"/>
        </w:rPr>
        <w:t xml:space="preserve"> (“Purchaser”), and </w:t>
      </w:r>
      <w:r w:rsidRPr="002250BD">
        <w:rPr>
          <w:rFonts w:asciiTheme="majorBidi" w:hAnsiTheme="majorBidi" w:cstheme="majorBidi"/>
          <w:b/>
          <w:caps/>
        </w:rPr>
        <w:t>Farpoint investment ventures, llc</w:t>
      </w:r>
      <w:r w:rsidRPr="002250BD">
        <w:rPr>
          <w:rFonts w:asciiTheme="majorBidi" w:hAnsiTheme="majorBidi" w:cstheme="majorBidi"/>
          <w:bCs/>
          <w:caps/>
        </w:rPr>
        <w:t xml:space="preserve">, </w:t>
      </w:r>
      <w:r w:rsidRPr="002250BD">
        <w:rPr>
          <w:rFonts w:asciiTheme="majorBidi" w:hAnsiTheme="majorBidi" w:cstheme="majorBidi"/>
          <w:bCs/>
        </w:rPr>
        <w:t>a Delaware limited liability company</w:t>
      </w:r>
      <w:r w:rsidRPr="002250BD">
        <w:rPr>
          <w:rFonts w:asciiTheme="majorBidi" w:hAnsiTheme="majorBidi" w:cstheme="majorBidi"/>
          <w:bCs/>
          <w:caps/>
        </w:rPr>
        <w:t xml:space="preserve"> </w:t>
      </w:r>
      <w:r w:rsidRPr="002250BD">
        <w:rPr>
          <w:rFonts w:asciiTheme="majorBidi" w:hAnsiTheme="majorBidi" w:cstheme="majorBidi"/>
        </w:rPr>
        <w:t>(“Seller”), effective as of November __, 2025 (“Effective Date”).</w:t>
      </w:r>
    </w:p>
    <w:p w:rsidRPr="002250BD" w:rsidR="00D46C7A" w:rsidP="00D46C7A" w:rsidRDefault="00D46C7A" w14:paraId="34C60A5F" w14:textId="77777777">
      <w:pPr>
        <w:jc w:val="center"/>
        <w:rPr>
          <w:rFonts w:asciiTheme="majorBidi" w:hAnsiTheme="majorBidi" w:cstheme="majorBidi"/>
          <w:b/>
          <w:bCs/>
        </w:rPr>
      </w:pPr>
      <w:r w:rsidRPr="002250BD">
        <w:rPr>
          <w:rFonts w:asciiTheme="majorBidi" w:hAnsiTheme="majorBidi" w:cstheme="majorBidi"/>
          <w:b/>
          <w:bCs/>
        </w:rPr>
        <w:t>RECITALS</w:t>
      </w:r>
    </w:p>
    <w:p w:rsidRPr="002250BD" w:rsidR="00D46C7A" w:rsidP="00D46C7A" w:rsidRDefault="00D46C7A" w14:paraId="2C88BAC0" w14:textId="77777777">
      <w:pPr>
        <w:jc w:val="both"/>
        <w:rPr>
          <w:rFonts w:asciiTheme="majorBidi" w:hAnsiTheme="majorBidi" w:cstheme="majorBidi"/>
          <w:b/>
          <w:bCs/>
        </w:rPr>
      </w:pPr>
    </w:p>
    <w:p w:rsidRPr="002250BD" w:rsidR="00D46C7A" w:rsidP="00D46C7A" w:rsidRDefault="00D46C7A" w14:paraId="1471223B" w14:textId="77777777">
      <w:pPr>
        <w:pStyle w:val="BodyTextFirstIndent"/>
        <w:numPr>
          <w:ilvl w:val="0"/>
          <w:numId w:val="9"/>
        </w:numPr>
        <w:ind w:left="0" w:firstLine="720"/>
        <w:jc w:val="both"/>
        <w:rPr>
          <w:rFonts w:asciiTheme="majorBidi" w:hAnsiTheme="majorBidi" w:cstheme="majorBidi"/>
        </w:rPr>
      </w:pPr>
      <w:r w:rsidRPr="002250BD">
        <w:rPr>
          <w:rFonts w:asciiTheme="majorBidi" w:hAnsiTheme="majorBidi" w:cstheme="majorBidi"/>
        </w:rPr>
        <w:t>Seller is under contract to purchase certain real property located at 425 and 475 Molton Street, Montgomery, Alabama pursuant to that certain Purchase and Sale Agreement dated August 13, 2025 between Seller, as buyer, and Backstage Venues, LLC, an Alabama limited liability company (“Backstage”), as seller, as amended by that certain First Amendment of Purchase and Sale Agreement between Seller and Backstage dated September 22, 2025 (such purchase agreement as amended, the “Backstage Purchase Agreement”). All capitalized terms used but not otherwise defined herein shall have the meaning set forth in the Backstage Purchase Agreement, a copy of which is attached as Exhibit A hereto.</w:t>
      </w:r>
    </w:p>
    <w:p w:rsidRPr="002250BD" w:rsidR="00D46C7A" w:rsidP="00D46C7A" w:rsidRDefault="00D46C7A" w14:paraId="533AFA0A" w14:textId="77777777">
      <w:pPr>
        <w:pStyle w:val="BodyTextFirstIndent"/>
        <w:numPr>
          <w:ilvl w:val="0"/>
          <w:numId w:val="9"/>
        </w:numPr>
        <w:ind w:left="0" w:firstLine="720"/>
        <w:jc w:val="both"/>
        <w:rPr>
          <w:rFonts w:asciiTheme="majorBidi" w:hAnsiTheme="majorBidi" w:cstheme="majorBidi"/>
        </w:rPr>
      </w:pPr>
      <w:r w:rsidRPr="002250BD">
        <w:rPr>
          <w:rFonts w:asciiTheme="majorBidi" w:hAnsiTheme="majorBidi" w:cstheme="majorBidi"/>
        </w:rPr>
        <w:t>Seller has entered into the Backstage Purchase Agreement for the benefit of Purchaser and Purchaser wishes to purchase the Property from Seller subsequent to Seller’s purchase of the Property from Backstage, upon the terms and conditions set forth herein.</w:t>
      </w:r>
    </w:p>
    <w:p w:rsidRPr="002250BD" w:rsidR="00D46C7A" w:rsidP="00D46C7A" w:rsidRDefault="00D46C7A" w14:paraId="18972BD9" w14:textId="77777777">
      <w:pPr>
        <w:jc w:val="center"/>
        <w:rPr>
          <w:rFonts w:asciiTheme="majorBidi" w:hAnsiTheme="majorBidi" w:cstheme="majorBidi"/>
          <w:b/>
          <w:bCs/>
        </w:rPr>
      </w:pPr>
      <w:r w:rsidRPr="002250BD">
        <w:rPr>
          <w:rFonts w:asciiTheme="majorBidi" w:hAnsiTheme="majorBidi" w:cstheme="majorBidi"/>
          <w:b/>
          <w:bCs/>
        </w:rPr>
        <w:t>AGREEMENT</w:t>
      </w:r>
    </w:p>
    <w:p w:rsidRPr="002250BD" w:rsidR="00D46C7A" w:rsidP="00D46C7A" w:rsidRDefault="00D46C7A" w14:paraId="7A79F1FB" w14:textId="77777777">
      <w:pPr>
        <w:jc w:val="both"/>
        <w:rPr>
          <w:rFonts w:asciiTheme="majorBidi" w:hAnsiTheme="majorBidi" w:cstheme="majorBidi"/>
          <w:b/>
          <w:bCs/>
        </w:rPr>
      </w:pPr>
    </w:p>
    <w:p w:rsidRPr="002250BD" w:rsidR="00D46C7A" w:rsidP="00D46C7A" w:rsidRDefault="00D46C7A" w14:paraId="33451555" w14:textId="77777777">
      <w:pPr>
        <w:pStyle w:val="BodyTextFirstIndent"/>
        <w:jc w:val="both"/>
        <w:rPr>
          <w:rFonts w:asciiTheme="majorBidi" w:hAnsiTheme="majorBidi" w:cstheme="majorBidi"/>
        </w:rPr>
      </w:pPr>
      <w:r w:rsidRPr="002250BD">
        <w:rPr>
          <w:rFonts w:asciiTheme="majorBidi" w:hAnsiTheme="majorBidi" w:cstheme="majorBidi"/>
          <w:b/>
          <w:bCs/>
        </w:rPr>
        <w:t>NOW, THEREFORE,</w:t>
      </w:r>
      <w:r w:rsidRPr="002250BD">
        <w:rPr>
          <w:rFonts w:asciiTheme="majorBidi" w:hAnsiTheme="majorBidi" w:cstheme="majorBidi"/>
        </w:rPr>
        <w:t xml:space="preserve"> in consideration of the Recitals, the covenants and agreements set forth herein, and for other good and valuable consideration, the receipt and sufficiency of which are hereby acknowledged, the parties hereto agree as follows:</w:t>
      </w:r>
    </w:p>
    <w:p w:rsidRPr="002250BD" w:rsidR="00D46C7A" w:rsidP="00D46C7A" w:rsidRDefault="00D46C7A" w14:paraId="7C502E20" w14:textId="5F0BA131">
      <w:pPr>
        <w:pStyle w:val="Legal3L1"/>
        <w:jc w:val="both"/>
        <w:rPr>
          <w:rFonts w:asciiTheme="majorBidi" w:hAnsiTheme="majorBidi" w:cstheme="majorBidi"/>
          <w:szCs w:val="24"/>
        </w:rPr>
      </w:pPr>
      <w:r w:rsidRPr="002250BD">
        <w:rPr>
          <w:rFonts w:asciiTheme="majorBidi" w:hAnsiTheme="majorBidi" w:cstheme="majorBidi"/>
          <w:szCs w:val="24"/>
          <w:u w:val="single"/>
        </w:rPr>
        <w:t>Property to be Sold and Purchased</w:t>
      </w:r>
      <w:r w:rsidRPr="002250BD">
        <w:rPr>
          <w:rFonts w:asciiTheme="majorBidi" w:hAnsiTheme="majorBidi" w:cstheme="majorBidi"/>
          <w:szCs w:val="24"/>
        </w:rPr>
        <w:t xml:space="preserve">.  Upon and subject to the terms, covenants and conditions hereinafter set forth, Seller shall sell and convey to Purchaser and Purchaser shall purchase and acquire from Seller, on the </w:t>
      </w:r>
      <w:r w:rsidRPr="002250BD" w:rsidR="0021311C">
        <w:rPr>
          <w:rFonts w:asciiTheme="majorBidi" w:hAnsiTheme="majorBidi" w:cstheme="majorBidi"/>
          <w:szCs w:val="24"/>
        </w:rPr>
        <w:t>d</w:t>
      </w:r>
      <w:r w:rsidRPr="002250BD">
        <w:rPr>
          <w:rFonts w:asciiTheme="majorBidi" w:hAnsiTheme="majorBidi" w:cstheme="majorBidi"/>
          <w:szCs w:val="24"/>
        </w:rPr>
        <w:t xml:space="preserve">ate of Closing (as hereinafter defined) all right, title and interest of Seller in and to the Property. </w:t>
      </w:r>
      <w:r w:rsidRPr="002250BD" w:rsidR="0056560C">
        <w:rPr>
          <w:rFonts w:asciiTheme="majorBidi" w:hAnsiTheme="majorBidi" w:cstheme="majorBidi"/>
          <w:szCs w:val="24"/>
        </w:rPr>
        <w:t xml:space="preserve"> </w:t>
      </w:r>
    </w:p>
    <w:p w:rsidRPr="002250BD" w:rsidR="0056560C" w:rsidP="00EE0D6F" w:rsidRDefault="00D46C7A" w14:paraId="6B497643" w14:textId="3915FAD9">
      <w:pPr>
        <w:pStyle w:val="Legal3L1"/>
        <w:jc w:val="both"/>
        <w:rPr>
          <w:rFonts w:asciiTheme="majorBidi" w:hAnsiTheme="majorBidi" w:cstheme="majorBidi"/>
          <w:szCs w:val="24"/>
        </w:rPr>
      </w:pPr>
      <w:r w:rsidRPr="002250BD">
        <w:rPr>
          <w:rFonts w:asciiTheme="majorBidi" w:hAnsiTheme="majorBidi" w:cstheme="majorBidi"/>
          <w:szCs w:val="24"/>
          <w:u w:val="single"/>
        </w:rPr>
        <w:t>Purchase Price</w:t>
      </w:r>
      <w:r w:rsidRPr="002250BD">
        <w:rPr>
          <w:rFonts w:asciiTheme="majorBidi" w:hAnsiTheme="majorBidi" w:cstheme="majorBidi"/>
          <w:szCs w:val="24"/>
        </w:rPr>
        <w:t>. The purchase price (“Purchase Price”) for the Property shall be ($5</w:t>
      </w:r>
      <w:r w:rsidRPr="002250BD" w:rsidR="007C247C">
        <w:rPr>
          <w:rFonts w:asciiTheme="majorBidi" w:hAnsiTheme="majorBidi" w:cstheme="majorBidi"/>
          <w:szCs w:val="24"/>
        </w:rPr>
        <w:t>,5</w:t>
      </w:r>
      <w:r w:rsidRPr="002250BD">
        <w:rPr>
          <w:rFonts w:asciiTheme="majorBidi" w:hAnsiTheme="majorBidi" w:cstheme="majorBidi"/>
          <w:szCs w:val="24"/>
        </w:rPr>
        <w:t>00,000.00)</w:t>
      </w:r>
      <w:r w:rsidRPr="002250BD" w:rsidR="007C247C">
        <w:rPr>
          <w:rFonts w:asciiTheme="majorBidi" w:hAnsiTheme="majorBidi" w:cstheme="majorBidi"/>
          <w:szCs w:val="24"/>
        </w:rPr>
        <w:t xml:space="preserve">, which includes (i) the $5,000,000 purchase price that Seller shall pay to Backstage under the Backstage Purchase Agreement (the “Backstage Purchase Price”), </w:t>
      </w:r>
      <w:r w:rsidRPr="002250BD">
        <w:rPr>
          <w:rFonts w:asciiTheme="majorBidi" w:hAnsiTheme="majorBidi" w:cstheme="majorBidi"/>
          <w:szCs w:val="24"/>
        </w:rPr>
        <w:t>plus</w:t>
      </w:r>
      <w:r w:rsidRPr="002250BD" w:rsidR="007C247C">
        <w:rPr>
          <w:rFonts w:asciiTheme="majorBidi" w:hAnsiTheme="majorBidi" w:cstheme="majorBidi"/>
          <w:szCs w:val="24"/>
        </w:rPr>
        <w:t xml:space="preserve"> (ii) a $250,000 development fee to Seller</w:t>
      </w:r>
      <w:r w:rsidRPr="002250BD" w:rsidR="0056560C">
        <w:rPr>
          <w:rFonts w:asciiTheme="majorBidi" w:hAnsiTheme="majorBidi" w:cstheme="majorBidi"/>
          <w:szCs w:val="24"/>
        </w:rPr>
        <w:t xml:space="preserve"> (the “Development Fee”)</w:t>
      </w:r>
      <w:r w:rsidRPr="002250BD" w:rsidR="007C247C">
        <w:rPr>
          <w:rFonts w:asciiTheme="majorBidi" w:hAnsiTheme="majorBidi" w:cstheme="majorBidi"/>
          <w:szCs w:val="24"/>
        </w:rPr>
        <w:t>, plus (iii) a $250,000 professional services fee to Seller</w:t>
      </w:r>
      <w:r w:rsidRPr="002250BD" w:rsidR="0056560C">
        <w:rPr>
          <w:rFonts w:asciiTheme="majorBidi" w:hAnsiTheme="majorBidi" w:cstheme="majorBidi"/>
          <w:szCs w:val="24"/>
        </w:rPr>
        <w:t xml:space="preserve"> (“Professional Services Fee”)</w:t>
      </w:r>
      <w:r w:rsidRPr="002250BD" w:rsidR="002250BD">
        <w:rPr>
          <w:rFonts w:asciiTheme="majorBidi" w:hAnsiTheme="majorBidi" w:cstheme="majorBidi"/>
          <w:szCs w:val="24"/>
        </w:rPr>
        <w:t xml:space="preserve"> to compensate Seller for Seller’s property diligence and closing costs including but not limited to environmental work, title and survey, inspections, consultant fees, and travel time</w:t>
      </w:r>
      <w:r w:rsidRPr="002250BD" w:rsidR="007C247C">
        <w:rPr>
          <w:rFonts w:asciiTheme="majorBidi" w:hAnsiTheme="majorBidi" w:cstheme="majorBidi"/>
          <w:szCs w:val="24"/>
        </w:rPr>
        <w:t>.</w:t>
      </w:r>
      <w:r w:rsidRPr="002250BD">
        <w:rPr>
          <w:rFonts w:asciiTheme="majorBidi" w:hAnsiTheme="majorBidi" w:cstheme="majorBidi"/>
          <w:szCs w:val="24"/>
        </w:rPr>
        <w:t xml:space="preserve"> </w:t>
      </w:r>
      <w:r w:rsidRPr="002250BD" w:rsidR="0056560C">
        <w:rPr>
          <w:rFonts w:asciiTheme="majorBidi" w:hAnsiTheme="majorBidi" w:cstheme="majorBidi"/>
          <w:szCs w:val="24"/>
        </w:rPr>
        <w:t>The portion of the Purchase Price consisting of the Backstage Purchase Price shall be subject to adjustments for prorations and standard closing costs as set forth in the settlement statement for Seller’s purchase of the Property from Backstage, it being the intention of the parties that the Backstage Purchase Price is a passthrough of the amount Seller paid to Backstage for the purchase of the Property.</w:t>
      </w:r>
    </w:p>
    <w:p w:rsidRPr="002250BD" w:rsidR="007C247C" w:rsidP="00D46C7A" w:rsidRDefault="007C247C" w14:paraId="1A445AAD" w14:textId="0C4C3FE1">
      <w:pPr>
        <w:pStyle w:val="Legal3L1"/>
        <w:jc w:val="both"/>
        <w:rPr>
          <w:rFonts w:asciiTheme="majorBidi" w:hAnsiTheme="majorBidi" w:cstheme="majorBidi"/>
          <w:szCs w:val="24"/>
        </w:rPr>
      </w:pPr>
      <w:r w:rsidRPr="002250BD">
        <w:rPr>
          <w:rFonts w:asciiTheme="majorBidi" w:hAnsiTheme="majorBidi" w:cstheme="majorBidi"/>
          <w:szCs w:val="24"/>
          <w:u w:val="single"/>
        </w:rPr>
        <w:lastRenderedPageBreak/>
        <w:t>Closing Date</w:t>
      </w:r>
      <w:r w:rsidRPr="002250BD">
        <w:rPr>
          <w:rFonts w:asciiTheme="majorBidi" w:hAnsiTheme="majorBidi" w:cstheme="majorBidi"/>
          <w:szCs w:val="24"/>
        </w:rPr>
        <w:t xml:space="preserve">. </w:t>
      </w:r>
      <w:r w:rsidRPr="002250BD" w:rsidR="00A61AF0">
        <w:rPr>
          <w:rFonts w:asciiTheme="majorBidi" w:hAnsiTheme="majorBidi" w:cstheme="majorBidi"/>
          <w:szCs w:val="24"/>
        </w:rPr>
        <w:t xml:space="preserve">The closing of the purchase and sale of the Property (“Closing”) shall occur the same date that Seller purchases the Property from Backstage, which is anticipated to be on or before December </w:t>
      </w:r>
      <w:r w:rsidR="00A61AF0">
        <w:rPr>
          <w:rFonts w:asciiTheme="majorBidi" w:hAnsiTheme="majorBidi" w:cstheme="majorBidi"/>
          <w:szCs w:val="24"/>
        </w:rPr>
        <w:t>11</w:t>
      </w:r>
      <w:r w:rsidRPr="002250BD" w:rsidR="00A61AF0">
        <w:rPr>
          <w:rFonts w:asciiTheme="majorBidi" w:hAnsiTheme="majorBidi" w:cstheme="majorBidi"/>
          <w:szCs w:val="24"/>
        </w:rPr>
        <w:t xml:space="preserve">, 2025 (the “Backstage Purchase Date”). Seller shall provide not less than five (5) days written notice to Purchaser of the confirmed Backstage Purchase Date and to the extent the Backstage Purchase Date changes for any reason after such notice has been delivered, Seller shall inform Purchaser of the same promptly thereafter. </w:t>
      </w:r>
      <w:r w:rsidR="00A61AF0">
        <w:rPr>
          <w:rFonts w:asciiTheme="majorBidi" w:hAnsiTheme="majorBidi" w:cstheme="majorBidi"/>
          <w:szCs w:val="24"/>
        </w:rPr>
        <w:t>Seller and Purchaser shall work in good faith to coordinate the Closing with the Backstage Purchase Date and to the extent Purchaser is unable to close on the date set by Backstage and Seller, Purchaser shall immediately communicate the same to Seller such that Seller can defer the Backstage Closing Date. Notwithstanding anything to the contrary herein, Purchaser shall not be in default under this Agreement for failure to close unless Purchaser is unable or unwilling to close on the Purchase of the Property on or before December 27, 2025.</w:t>
      </w:r>
    </w:p>
    <w:p w:rsidRPr="002250BD" w:rsidR="00D46C7A" w:rsidP="00D46C7A" w:rsidRDefault="00D46C7A" w14:paraId="3106327D" w14:textId="3E398951">
      <w:pPr>
        <w:pStyle w:val="Legal3L1"/>
        <w:tabs>
          <w:tab w:val="num" w:pos="2160"/>
        </w:tabs>
        <w:jc w:val="both"/>
        <w:rPr>
          <w:rFonts w:asciiTheme="majorBidi" w:hAnsiTheme="majorBidi" w:cstheme="majorBidi"/>
          <w:szCs w:val="24"/>
        </w:rPr>
      </w:pPr>
      <w:bookmarkStart w:name="_Hlk62719092" w:id="0"/>
      <w:r w:rsidRPr="002250BD">
        <w:rPr>
          <w:rFonts w:asciiTheme="majorBidi" w:hAnsiTheme="majorBidi" w:cstheme="majorBidi"/>
          <w:szCs w:val="24"/>
          <w:u w:val="single"/>
        </w:rPr>
        <w:t>Seller’s Information Deliveries</w:t>
      </w:r>
      <w:r w:rsidRPr="002250BD">
        <w:rPr>
          <w:rFonts w:asciiTheme="majorBidi" w:hAnsiTheme="majorBidi" w:cstheme="majorBidi"/>
          <w:szCs w:val="24"/>
        </w:rPr>
        <w:t xml:space="preserve">.  Seller shall deliver to Purchaser all documentation set forth in Schedule 4 of the Backstage Purchase Agreement to the extent actually received by Seller, together with copies of all title commitments, reports, surveys and investigations relating to the Property ordered by Purchaser as part of its due diligence on the Property. </w:t>
      </w:r>
      <w:bookmarkStart w:name="_Hlk62717548" w:id="1"/>
      <w:r w:rsidRPr="002250BD">
        <w:rPr>
          <w:rFonts w:asciiTheme="majorBidi" w:hAnsiTheme="majorBidi" w:cstheme="majorBidi"/>
          <w:szCs w:val="24"/>
        </w:rPr>
        <w:t xml:space="preserve">The furnishing by Seller to Purchaser of copies of the foregoing information is without representation, covenant or warranty concerning the accuracy thereof or concerning Purchaser’s right to utilize or rely thereon.  Moreover, Purchaser agrees that (i) Seller shall not be deemed to have made any representation or warranty as to the accuracy or validity of any information contained in the foregoing documents, and (ii) the use of or reliance on any of the foregoing documents by Purchaser or Purchaser’s agents shall be at the sole risk of Purchaser and that Seller shall have no responsibility or liability to Purchaser or to Purchaser’s agents in connection with the use of or reliance on any of the foregoing documents by Purchaser or Purchaser’s agents.  </w:t>
      </w:r>
      <w:bookmarkEnd w:id="1"/>
      <w:r w:rsidR="002250BD">
        <w:rPr>
          <w:rFonts w:asciiTheme="majorBidi" w:hAnsiTheme="majorBidi" w:cstheme="majorBidi"/>
          <w:szCs w:val="24"/>
        </w:rPr>
        <w:t>Seller shall disclose to Purchaser any material defects relating to the Property known to Seller.</w:t>
      </w:r>
    </w:p>
    <w:p w:rsidRPr="002250BD" w:rsidR="00D46C7A" w:rsidP="00D46C7A" w:rsidRDefault="00D46C7A" w14:paraId="55CBB7FB" w14:textId="457B9CA9">
      <w:pPr>
        <w:pStyle w:val="Legal3L1"/>
        <w:jc w:val="both"/>
        <w:rPr>
          <w:rFonts w:asciiTheme="majorBidi" w:hAnsiTheme="majorBidi" w:cstheme="majorBidi"/>
          <w:szCs w:val="24"/>
        </w:rPr>
      </w:pPr>
      <w:r w:rsidRPr="002250BD">
        <w:rPr>
          <w:rFonts w:asciiTheme="majorBidi" w:hAnsiTheme="majorBidi" w:cstheme="majorBidi"/>
          <w:szCs w:val="24"/>
          <w:u w:val="single"/>
        </w:rPr>
        <w:t>Title Insurance</w:t>
      </w:r>
      <w:r w:rsidRPr="002250BD">
        <w:rPr>
          <w:rFonts w:asciiTheme="majorBidi" w:hAnsiTheme="majorBidi" w:cstheme="majorBidi"/>
          <w:szCs w:val="24"/>
        </w:rPr>
        <w:t xml:space="preserve">. Seller shall provide Purchaser, within ten (10) days of the </w:t>
      </w:r>
      <w:r w:rsidRPr="002250BD" w:rsidR="0021311C">
        <w:rPr>
          <w:rFonts w:asciiTheme="majorBidi" w:hAnsiTheme="majorBidi" w:cstheme="majorBidi"/>
          <w:szCs w:val="24"/>
        </w:rPr>
        <w:t xml:space="preserve">Backstage </w:t>
      </w:r>
      <w:r w:rsidRPr="002250BD">
        <w:rPr>
          <w:rFonts w:asciiTheme="majorBidi" w:hAnsiTheme="majorBidi" w:cstheme="majorBidi"/>
          <w:szCs w:val="24"/>
        </w:rPr>
        <w:t xml:space="preserve">Purchase Date, a title insurance commitment providing for extended coverage (hereinafter referred to as the “Title Commitment”) issued by the Title Company, pursuant to which the Title Company shall agree to issue to Purchaser a current standard ALTA Owner’s Policy of Title Insurance in the full amount of the Purchase Price, insuring good and marketable title to the Property (expressly including all easements and appurtenances thereto) and containing a complete copy of each such easement, restriction, limitation or condition of title which is referred to in the Title Commitment, as well as current special assessment information. The title policy shall be issued at Closing, at Purchaser’s expense. All endorsements required by Purchaser shall be at Purchaser’s sole expense. Purchaser shall take title to the Property free and clear of any liens and encumbrances arising subsequent to the </w:t>
      </w:r>
      <w:r w:rsidRPr="002250BD" w:rsidR="0021311C">
        <w:rPr>
          <w:rFonts w:asciiTheme="majorBidi" w:hAnsiTheme="majorBidi" w:cstheme="majorBidi"/>
          <w:szCs w:val="24"/>
        </w:rPr>
        <w:t xml:space="preserve">Backstage </w:t>
      </w:r>
      <w:r w:rsidRPr="002250BD">
        <w:rPr>
          <w:rFonts w:asciiTheme="majorBidi" w:hAnsiTheme="majorBidi" w:cstheme="majorBidi"/>
          <w:szCs w:val="24"/>
        </w:rPr>
        <w:t>Purchase Date due to the action of Seller to the extent taken without the prior written consent of Purchaser.</w:t>
      </w:r>
    </w:p>
    <w:p w:rsidRPr="002250BD" w:rsidR="00D46C7A" w:rsidP="00D46C7A" w:rsidRDefault="00D46C7A" w14:paraId="035DF878" w14:textId="55A98594">
      <w:pPr>
        <w:pStyle w:val="Legal3L1"/>
        <w:jc w:val="both"/>
        <w:rPr>
          <w:rFonts w:asciiTheme="majorBidi" w:hAnsiTheme="majorBidi" w:cstheme="majorBidi"/>
          <w:szCs w:val="24"/>
        </w:rPr>
      </w:pPr>
      <w:r w:rsidRPr="002250BD">
        <w:rPr>
          <w:rFonts w:asciiTheme="majorBidi" w:hAnsiTheme="majorBidi" w:cstheme="majorBidi"/>
          <w:szCs w:val="24"/>
          <w:u w:val="single"/>
        </w:rPr>
        <w:t>Purchaser Termination Right</w:t>
      </w:r>
      <w:r w:rsidRPr="002250BD">
        <w:rPr>
          <w:rFonts w:asciiTheme="majorBidi" w:hAnsiTheme="majorBidi" w:cstheme="majorBidi"/>
          <w:szCs w:val="24"/>
        </w:rPr>
        <w:t xml:space="preserve">.  The period commencing on the Effective Date and ending on the date that is ten (10) days prior to the </w:t>
      </w:r>
      <w:r w:rsidRPr="002250BD" w:rsidR="0021311C">
        <w:rPr>
          <w:rFonts w:asciiTheme="majorBidi" w:hAnsiTheme="majorBidi" w:cstheme="majorBidi"/>
          <w:szCs w:val="24"/>
        </w:rPr>
        <w:t xml:space="preserve">Backstage </w:t>
      </w:r>
      <w:r w:rsidRPr="002250BD">
        <w:rPr>
          <w:rFonts w:asciiTheme="majorBidi" w:hAnsiTheme="majorBidi" w:cstheme="majorBidi"/>
          <w:szCs w:val="24"/>
        </w:rPr>
        <w:t xml:space="preserve">Purchase Date is referred to herein as the “Termination Period”.  If Purchaser, in its sole and absolute discretion, determines that the Property is unsuitable for its intended use, or is unsatisfied with the Property for any reason or no reason, Purchaser shall have the right to terminate this Agreement at any time by (i) delivering notice of such termination to Seller on or before the expiration of the Termination Period, and </w:t>
      </w:r>
      <w:r w:rsidRPr="002250BD">
        <w:rPr>
          <w:rFonts w:asciiTheme="majorBidi" w:hAnsiTheme="majorBidi" w:cstheme="majorBidi"/>
          <w:szCs w:val="24"/>
        </w:rPr>
        <w:lastRenderedPageBreak/>
        <w:t xml:space="preserve">(ii) wiring to Seller the amount of $100,000 (or such other amount of Deposit required to be paid by Seller to Backstage under the Backstage Purchase Agreement for termination of the Backstage Purchase Agreement) plus </w:t>
      </w:r>
      <w:r w:rsidRPr="002250BD" w:rsidR="0021311C">
        <w:rPr>
          <w:rFonts w:asciiTheme="majorBidi" w:hAnsiTheme="majorBidi" w:cstheme="majorBidi"/>
          <w:szCs w:val="24"/>
        </w:rPr>
        <w:t>the Developer Fee and the Professional Services Fee</w:t>
      </w:r>
      <w:r w:rsidRPr="002250BD">
        <w:rPr>
          <w:rFonts w:asciiTheme="majorBidi" w:hAnsiTheme="majorBidi" w:cstheme="majorBidi"/>
          <w:szCs w:val="24"/>
        </w:rPr>
        <w:t xml:space="preserve"> (collectively, the “Termination Fee”) within five (5) days after delivery of the termination notice.</w:t>
      </w:r>
      <w:r w:rsidR="002250BD">
        <w:rPr>
          <w:rFonts w:asciiTheme="majorBidi" w:hAnsiTheme="majorBidi" w:cstheme="majorBidi"/>
          <w:szCs w:val="24"/>
        </w:rPr>
        <w:t xml:space="preserve"> In the event Purchaser terminates due to a default of Seller under this Agreement, Purchaser shall not be required to pay the Termination Fee.</w:t>
      </w:r>
      <w:r w:rsidRPr="002250BD">
        <w:rPr>
          <w:rFonts w:asciiTheme="majorBidi" w:hAnsiTheme="majorBidi" w:cstheme="majorBidi"/>
          <w:szCs w:val="24"/>
        </w:rPr>
        <w:t xml:space="preserve"> </w:t>
      </w:r>
    </w:p>
    <w:p w:rsidRPr="002250BD" w:rsidR="00EE0D6F" w:rsidP="00EE0D6F" w:rsidRDefault="00D46C7A" w14:paraId="6FC8A762" w14:textId="070B3B41">
      <w:pPr>
        <w:pStyle w:val="Legal3L1"/>
        <w:jc w:val="both"/>
        <w:rPr>
          <w:rFonts w:asciiTheme="majorBidi" w:hAnsiTheme="majorBidi" w:cstheme="majorBidi"/>
          <w:szCs w:val="24"/>
        </w:rPr>
      </w:pPr>
      <w:r w:rsidRPr="002250BD">
        <w:rPr>
          <w:rFonts w:asciiTheme="majorBidi" w:hAnsiTheme="majorBidi" w:cstheme="majorBidi"/>
          <w:szCs w:val="24"/>
          <w:u w:val="single"/>
        </w:rPr>
        <w:t>Seller Termination Right</w:t>
      </w:r>
      <w:r w:rsidRPr="002250BD">
        <w:rPr>
          <w:rFonts w:asciiTheme="majorBidi" w:hAnsiTheme="majorBidi" w:cstheme="majorBidi"/>
          <w:szCs w:val="24"/>
        </w:rPr>
        <w:t>. Nothing in this Agreement shall require Seller to purchase the Property from Backstage and Seller shall have all rights to terminate the Backstage Purchase Agreement as set forth in the Backstage Purchase Agreement. If Seller determines not to purchase the Property, Seller shall provide notice of such termination to Purchaser within five (5) days after termination of the Backstage Purchase Agreement.</w:t>
      </w:r>
    </w:p>
    <w:p w:rsidRPr="002250BD" w:rsidR="00EE0D6F" w:rsidP="00EE0D6F" w:rsidRDefault="00EE0D6F" w14:paraId="1BA44EFA" w14:textId="057AD339">
      <w:pPr>
        <w:pStyle w:val="Legal3L1"/>
        <w:jc w:val="both"/>
        <w:rPr>
          <w:rFonts w:asciiTheme="majorBidi" w:hAnsiTheme="majorBidi" w:cstheme="majorBidi"/>
          <w:szCs w:val="24"/>
        </w:rPr>
      </w:pPr>
      <w:r w:rsidRPr="002250BD">
        <w:rPr>
          <w:rFonts w:asciiTheme="majorBidi" w:hAnsiTheme="majorBidi" w:cstheme="majorBidi"/>
          <w:szCs w:val="24"/>
          <w:u w:val="single"/>
        </w:rPr>
        <w:t>Assignment Option</w:t>
      </w:r>
      <w:r w:rsidRPr="002250BD">
        <w:rPr>
          <w:rFonts w:asciiTheme="majorBidi" w:hAnsiTheme="majorBidi" w:cstheme="majorBidi"/>
          <w:szCs w:val="24"/>
        </w:rPr>
        <w:t>. Notwithstanding anything herein to the contrary, if at any time</w:t>
      </w:r>
      <w:r w:rsidRPr="002250BD" w:rsidR="004F7687">
        <w:rPr>
          <w:rFonts w:asciiTheme="majorBidi" w:hAnsiTheme="majorBidi" w:cstheme="majorBidi"/>
          <w:szCs w:val="24"/>
        </w:rPr>
        <w:t>,</w:t>
      </w:r>
      <w:r w:rsidRPr="002250BD">
        <w:rPr>
          <w:rFonts w:asciiTheme="majorBidi" w:hAnsiTheme="majorBidi" w:cstheme="majorBidi"/>
          <w:szCs w:val="24"/>
        </w:rPr>
        <w:t xml:space="preserve"> Purchaser determines that it would prefer to purchase the Property from Backstage directly</w:t>
      </w:r>
      <w:r w:rsidRPr="002250BD" w:rsidR="004F7687">
        <w:rPr>
          <w:rFonts w:asciiTheme="majorBidi" w:hAnsiTheme="majorBidi" w:cstheme="majorBidi"/>
          <w:szCs w:val="24"/>
        </w:rPr>
        <w:t xml:space="preserve"> pursuant to the terms of the Backstage Purchase Agreement,</w:t>
      </w:r>
      <w:r w:rsidRPr="002250BD">
        <w:rPr>
          <w:rFonts w:asciiTheme="majorBidi" w:hAnsiTheme="majorBidi" w:cstheme="majorBidi"/>
          <w:szCs w:val="24"/>
        </w:rPr>
        <w:t xml:space="preserve"> and if Seller agrees to the same, Seller shall provide notice to Backstage of </w:t>
      </w:r>
      <w:r w:rsidRPr="002250BD" w:rsidR="004F7687">
        <w:rPr>
          <w:rFonts w:asciiTheme="majorBidi" w:hAnsiTheme="majorBidi" w:cstheme="majorBidi"/>
          <w:szCs w:val="24"/>
        </w:rPr>
        <w:t>such assignment (the “Assignment”). U</w:t>
      </w:r>
      <w:r w:rsidRPr="002250BD">
        <w:rPr>
          <w:rFonts w:asciiTheme="majorBidi" w:hAnsiTheme="majorBidi" w:cstheme="majorBidi"/>
          <w:szCs w:val="24"/>
        </w:rPr>
        <w:t>pon assignment of the Backstage Purchase Agreement from Seller to Purchaser</w:t>
      </w:r>
      <w:r w:rsidRPr="002250BD" w:rsidR="004F7687">
        <w:rPr>
          <w:rFonts w:asciiTheme="majorBidi" w:hAnsiTheme="majorBidi" w:cstheme="majorBidi"/>
          <w:szCs w:val="24"/>
        </w:rPr>
        <w:t xml:space="preserve"> (the “Assignment”), which shall be made effective upon Purchaser and Seller’s execution of an Assignment and Assumption Agreement reasonably acceptable to each (the “Assignment Agreement”)</w:t>
      </w:r>
      <w:r w:rsidRPr="002250BD">
        <w:rPr>
          <w:rFonts w:asciiTheme="majorBidi" w:hAnsiTheme="majorBidi" w:cstheme="majorBidi"/>
          <w:szCs w:val="24"/>
        </w:rPr>
        <w:t>, Seller shall have no further obligati</w:t>
      </w:r>
      <w:r w:rsidRPr="002250BD" w:rsidR="004F7687">
        <w:rPr>
          <w:rFonts w:asciiTheme="majorBidi" w:hAnsiTheme="majorBidi" w:cstheme="majorBidi"/>
          <w:szCs w:val="24"/>
        </w:rPr>
        <w:t>on under this Agreement or the Backstage Purchase Agreement.  The Assignment Agreement shall provide that in exchange for the Assignment, Purchaser shall pay to Seller</w:t>
      </w:r>
      <w:r w:rsidRPr="002250BD" w:rsidR="0021311C">
        <w:rPr>
          <w:rFonts w:asciiTheme="majorBidi" w:hAnsiTheme="majorBidi" w:cstheme="majorBidi"/>
          <w:szCs w:val="24"/>
        </w:rPr>
        <w:t>,</w:t>
      </w:r>
      <w:r w:rsidRPr="002250BD" w:rsidR="004F7687">
        <w:rPr>
          <w:rFonts w:asciiTheme="majorBidi" w:hAnsiTheme="majorBidi" w:cstheme="majorBidi"/>
          <w:szCs w:val="24"/>
        </w:rPr>
        <w:t xml:space="preserve"> on the effective date of the Assignment Agreement</w:t>
      </w:r>
      <w:r w:rsidRPr="002250BD" w:rsidR="0021311C">
        <w:rPr>
          <w:rFonts w:asciiTheme="majorBidi" w:hAnsiTheme="majorBidi" w:cstheme="majorBidi"/>
          <w:szCs w:val="24"/>
        </w:rPr>
        <w:t>,</w:t>
      </w:r>
      <w:r w:rsidRPr="002250BD" w:rsidR="004F7687">
        <w:rPr>
          <w:rFonts w:asciiTheme="majorBidi" w:hAnsiTheme="majorBidi" w:cstheme="majorBidi"/>
          <w:szCs w:val="24"/>
        </w:rPr>
        <w:t xml:space="preserve"> the </w:t>
      </w:r>
      <w:r w:rsidRPr="002250BD" w:rsidR="0021311C">
        <w:rPr>
          <w:rFonts w:asciiTheme="majorBidi" w:hAnsiTheme="majorBidi" w:cstheme="majorBidi"/>
          <w:szCs w:val="24"/>
        </w:rPr>
        <w:t>Termination Fee</w:t>
      </w:r>
      <w:r w:rsidRPr="002250BD" w:rsidR="004F7687">
        <w:rPr>
          <w:rFonts w:asciiTheme="majorBidi" w:hAnsiTheme="majorBidi" w:cstheme="majorBidi"/>
          <w:szCs w:val="24"/>
        </w:rPr>
        <w:t xml:space="preserve">. </w:t>
      </w:r>
    </w:p>
    <w:p w:rsidRPr="002250BD" w:rsidR="00D46C7A" w:rsidP="00D46C7A" w:rsidRDefault="00D46C7A" w14:paraId="3A2FA955" w14:textId="77777777">
      <w:pPr>
        <w:pStyle w:val="Legal3L1"/>
        <w:jc w:val="both"/>
        <w:rPr>
          <w:rFonts w:asciiTheme="majorBidi" w:hAnsiTheme="majorBidi" w:cstheme="majorBidi"/>
          <w:szCs w:val="24"/>
        </w:rPr>
      </w:pPr>
      <w:r w:rsidRPr="002250BD">
        <w:rPr>
          <w:rFonts w:asciiTheme="majorBidi" w:hAnsiTheme="majorBidi" w:cstheme="majorBidi"/>
          <w:szCs w:val="24"/>
          <w:u w:val="single"/>
        </w:rPr>
        <w:t>Closing</w:t>
      </w:r>
      <w:r w:rsidRPr="002250BD">
        <w:rPr>
          <w:rFonts w:asciiTheme="majorBidi" w:hAnsiTheme="majorBidi" w:cstheme="majorBidi"/>
          <w:szCs w:val="24"/>
        </w:rPr>
        <w:t>.</w:t>
      </w:r>
    </w:p>
    <w:p w:rsidRPr="002250BD" w:rsidR="00D46C7A" w:rsidP="00D46C7A" w:rsidRDefault="00D46C7A" w14:paraId="4E98F949" w14:textId="3F10E186">
      <w:pPr>
        <w:pStyle w:val="Legal3L2"/>
        <w:rPr>
          <w:rFonts w:asciiTheme="majorBidi" w:hAnsiTheme="majorBidi" w:cstheme="majorBidi"/>
          <w:szCs w:val="24"/>
        </w:rPr>
      </w:pPr>
      <w:r w:rsidRPr="002250BD">
        <w:rPr>
          <w:rFonts w:asciiTheme="majorBidi" w:hAnsiTheme="majorBidi" w:cstheme="majorBidi"/>
          <w:szCs w:val="24"/>
          <w:u w:val="single"/>
        </w:rPr>
        <w:t>Deliveries at Closing</w:t>
      </w:r>
      <w:r w:rsidRPr="002250BD">
        <w:rPr>
          <w:rFonts w:asciiTheme="majorBidi" w:hAnsiTheme="majorBidi" w:cstheme="majorBidi"/>
          <w:szCs w:val="24"/>
        </w:rPr>
        <w:t>. At Closing</w:t>
      </w:r>
      <w:r w:rsidRPr="002250BD" w:rsidR="0021311C">
        <w:rPr>
          <w:rFonts w:asciiTheme="majorBidi" w:hAnsiTheme="majorBidi" w:cstheme="majorBidi"/>
          <w:szCs w:val="24"/>
        </w:rPr>
        <w:t>,</w:t>
      </w:r>
      <w:r w:rsidRPr="002250BD">
        <w:rPr>
          <w:rFonts w:asciiTheme="majorBidi" w:hAnsiTheme="majorBidi" w:cstheme="majorBidi"/>
          <w:szCs w:val="24"/>
        </w:rPr>
        <w:t xml:space="preserve"> Seller shall deliver to Purchaser a duly executed and acknowledged special warranty deed conveying the Property to Purchaser, free and clear of all liens and encumbrances arising under Seller other than those agreed to in writing by Purchaser, and shall execute, acknowledge and deliver, or cause to be executed, acknowledged and delivered, any and all conveyances, assignments and all other instruments and documents as may be reasonably necessary in order to complete the transaction herein provided and to carry out the intent and purposes of this Agreement. At Closing, Purchaser shall deliver the Purchase Price to Seller and shall execute, acknowledge and deliver, or cause to be executed, acknowledged and delivered, any and all conveyances, assignments and all other instruments and documents as may be reasonably necessary in order to complete the transaction herein provided and to carry out the intent and purposes of this Agreement.</w:t>
      </w:r>
    </w:p>
    <w:p w:rsidRPr="002250BD" w:rsidR="00D46C7A" w:rsidP="00D46C7A" w:rsidRDefault="00D46C7A" w14:paraId="5DA03CCF" w14:textId="39519DE2">
      <w:pPr>
        <w:pStyle w:val="Legal3L1"/>
        <w:jc w:val="both"/>
        <w:rPr>
          <w:rFonts w:asciiTheme="majorBidi" w:hAnsiTheme="majorBidi" w:cstheme="majorBidi"/>
          <w:szCs w:val="24"/>
        </w:rPr>
      </w:pPr>
      <w:r w:rsidRPr="002250BD">
        <w:rPr>
          <w:rFonts w:asciiTheme="majorBidi" w:hAnsiTheme="majorBidi" w:cstheme="majorBidi"/>
          <w:szCs w:val="24"/>
          <w:u w:val="single"/>
        </w:rPr>
        <w:t>Prorations</w:t>
      </w:r>
      <w:r w:rsidRPr="002250BD">
        <w:rPr>
          <w:rFonts w:asciiTheme="majorBidi" w:hAnsiTheme="majorBidi" w:cstheme="majorBidi"/>
          <w:szCs w:val="24"/>
        </w:rPr>
        <w:t>.  There shall be no prorations at Closing</w:t>
      </w:r>
      <w:r w:rsidRPr="002250BD" w:rsidR="0021311C">
        <w:rPr>
          <w:rFonts w:asciiTheme="majorBidi" w:hAnsiTheme="majorBidi" w:cstheme="majorBidi"/>
          <w:szCs w:val="24"/>
        </w:rPr>
        <w:t xml:space="preserve"> as between Seller and Purchaser. </w:t>
      </w:r>
    </w:p>
    <w:p w:rsidRPr="002250BD" w:rsidR="00D46C7A" w:rsidP="00D46C7A" w:rsidRDefault="00D46C7A" w14:paraId="6749C27D" w14:textId="21040582">
      <w:pPr>
        <w:pStyle w:val="Legal3L1"/>
        <w:jc w:val="both"/>
        <w:rPr>
          <w:rFonts w:asciiTheme="majorBidi" w:hAnsiTheme="majorBidi" w:cstheme="majorBidi"/>
          <w:szCs w:val="24"/>
        </w:rPr>
      </w:pPr>
      <w:r w:rsidRPr="002250BD">
        <w:rPr>
          <w:rFonts w:asciiTheme="majorBidi" w:hAnsiTheme="majorBidi" w:cstheme="majorBidi"/>
          <w:szCs w:val="24"/>
          <w:u w:val="single"/>
        </w:rPr>
        <w:t>Purchaser Consent Rights</w:t>
      </w:r>
      <w:r w:rsidRPr="002250BD">
        <w:rPr>
          <w:rFonts w:asciiTheme="majorBidi" w:hAnsiTheme="majorBidi" w:cstheme="majorBidi"/>
          <w:szCs w:val="24"/>
        </w:rPr>
        <w:t xml:space="preserve">. Seller shall not enter into any amendment to the Backstage Purchase Agreement that increases the Purchase Price (as defined in the Backstage Purchase Agreement) of the Property, changes the legal description of the Property, or increases the Deposit without the prior written consent of Purchaser.  If Purchaser provides written notice to Seller that it will not consent to the requested amendment, which notice is received within five (5) days after Seller’s written request for consent, then Seller shall have full right to terminate </w:t>
      </w:r>
      <w:r w:rsidRPr="002250BD">
        <w:rPr>
          <w:rFonts w:asciiTheme="majorBidi" w:hAnsiTheme="majorBidi" w:cstheme="majorBidi"/>
          <w:szCs w:val="24"/>
        </w:rPr>
        <w:lastRenderedPageBreak/>
        <w:t>this Agreement in the manner provided in Section 6 hereof, and receive the Termination Fee from Purchaser.</w:t>
      </w:r>
    </w:p>
    <w:p w:rsidRPr="002250BD" w:rsidR="00D46C7A" w:rsidP="00D46C7A" w:rsidRDefault="00D46C7A" w14:paraId="13B727D4" w14:textId="2AB2E81B">
      <w:pPr>
        <w:pStyle w:val="Legal3L1"/>
        <w:jc w:val="both"/>
        <w:rPr>
          <w:rFonts w:asciiTheme="majorBidi" w:hAnsiTheme="majorBidi" w:cstheme="majorBidi"/>
          <w:szCs w:val="24"/>
        </w:rPr>
      </w:pPr>
      <w:r w:rsidRPr="002250BD">
        <w:rPr>
          <w:rFonts w:asciiTheme="majorBidi" w:hAnsiTheme="majorBidi" w:cstheme="majorBidi"/>
          <w:szCs w:val="24"/>
          <w:u w:val="single"/>
        </w:rPr>
        <w:t>Casualty Damage and Condemnation</w:t>
      </w:r>
      <w:r w:rsidRPr="002250BD">
        <w:rPr>
          <w:rFonts w:asciiTheme="majorBidi" w:hAnsiTheme="majorBidi" w:cstheme="majorBidi"/>
          <w:szCs w:val="24"/>
        </w:rPr>
        <w:t xml:space="preserve">. </w:t>
      </w:r>
      <w:r w:rsidR="0003550C">
        <w:rPr>
          <w:rFonts w:asciiTheme="majorBidi" w:hAnsiTheme="majorBidi" w:cstheme="majorBidi"/>
          <w:szCs w:val="24"/>
        </w:rPr>
        <w:t>Seller</w:t>
      </w:r>
      <w:r w:rsidRPr="002250BD">
        <w:rPr>
          <w:rFonts w:asciiTheme="majorBidi" w:hAnsiTheme="majorBidi" w:cstheme="majorBidi"/>
          <w:szCs w:val="24"/>
        </w:rPr>
        <w:t xml:space="preserve"> assumes all risks and liability for damage to or injury occurring to the Property by fire, storm, accident, or any other casualty or cause (each a “Casualty) and for any taking of the Property or exercise of eminent domain by any sovereign, municipality or other public or private authority (a “Taking”) while this Agreement is in effect, subject to Purchaser’s termination rights in Section 5 hereof.  </w:t>
      </w:r>
    </w:p>
    <w:p w:rsidRPr="002250BD" w:rsidR="00D46C7A" w:rsidP="00D46C7A" w:rsidRDefault="00D46C7A" w14:paraId="747FB180" w14:textId="77777777">
      <w:pPr>
        <w:pStyle w:val="Legal3L1"/>
        <w:jc w:val="both"/>
        <w:rPr>
          <w:rFonts w:asciiTheme="majorBidi" w:hAnsiTheme="majorBidi" w:cstheme="majorBidi"/>
          <w:szCs w:val="24"/>
        </w:rPr>
      </w:pPr>
      <w:r w:rsidRPr="002250BD">
        <w:rPr>
          <w:rFonts w:asciiTheme="majorBidi" w:hAnsiTheme="majorBidi" w:cstheme="majorBidi"/>
          <w:szCs w:val="24"/>
          <w:u w:val="single"/>
        </w:rPr>
        <w:t>Remedies</w:t>
      </w:r>
      <w:r w:rsidRPr="002250BD">
        <w:rPr>
          <w:rFonts w:asciiTheme="majorBidi" w:hAnsiTheme="majorBidi" w:cstheme="majorBidi"/>
          <w:szCs w:val="24"/>
        </w:rPr>
        <w:t>.</w:t>
      </w:r>
    </w:p>
    <w:p w:rsidRPr="002250BD" w:rsidR="00D46C7A" w:rsidP="00D46C7A" w:rsidRDefault="00D46C7A" w14:paraId="61C97242" w14:textId="77777777">
      <w:pPr>
        <w:pStyle w:val="Legal3L2"/>
        <w:rPr>
          <w:rFonts w:asciiTheme="majorBidi" w:hAnsiTheme="majorBidi" w:cstheme="majorBidi"/>
          <w:szCs w:val="24"/>
        </w:rPr>
      </w:pPr>
      <w:r w:rsidRPr="002250BD">
        <w:rPr>
          <w:rFonts w:asciiTheme="majorBidi" w:hAnsiTheme="majorBidi" w:cstheme="majorBidi"/>
          <w:szCs w:val="24"/>
          <w:u w:val="single"/>
        </w:rPr>
        <w:t>Breach by Seller</w:t>
      </w:r>
      <w:r w:rsidRPr="002250BD">
        <w:rPr>
          <w:rFonts w:asciiTheme="majorBidi" w:hAnsiTheme="majorBidi" w:cstheme="majorBidi"/>
          <w:szCs w:val="24"/>
        </w:rPr>
        <w:t xml:space="preserve">.  Time is of the essence with respect to each and all of Seller’s obligations hereunder.  If Seller fails to comply with any of its obligations hereunder, Purchaser, at Purchaser’s option, shall have, </w:t>
      </w:r>
      <w:bookmarkStart w:name="_Hlk93603796" w:id="2"/>
      <w:r w:rsidRPr="002250BD">
        <w:rPr>
          <w:rFonts w:asciiTheme="majorBidi" w:hAnsiTheme="majorBidi" w:cstheme="majorBidi"/>
          <w:szCs w:val="24"/>
        </w:rPr>
        <w:t xml:space="preserve">as its sole rights and remedies, the right to: </w:t>
      </w:r>
      <w:bookmarkEnd w:id="2"/>
      <w:r w:rsidRPr="002250BD">
        <w:rPr>
          <w:rFonts w:asciiTheme="majorBidi" w:hAnsiTheme="majorBidi" w:cstheme="majorBidi"/>
          <w:szCs w:val="24"/>
        </w:rPr>
        <w:t>(a) if Seller has not yet taken title to the Property, treat this Agreement as terminated without payment of the Termination Fee; or (b) if Seller has taken title to the Property, treat this Agreement as being in full force and effect, and Purchaser shall be entitled to specific performance of this Agreement.</w:t>
      </w:r>
    </w:p>
    <w:p w:rsidR="0032124D" w:rsidP="0003550C" w:rsidRDefault="00D46C7A" w14:paraId="51974E51" w14:textId="77777777">
      <w:pPr>
        <w:pStyle w:val="Legal3L2"/>
        <w:rPr>
          <w:rFonts w:asciiTheme="majorBidi" w:hAnsiTheme="majorBidi" w:cstheme="majorBidi"/>
          <w:szCs w:val="24"/>
        </w:rPr>
      </w:pPr>
      <w:r w:rsidRPr="002250BD">
        <w:rPr>
          <w:rFonts w:asciiTheme="majorBidi" w:hAnsiTheme="majorBidi" w:cstheme="majorBidi"/>
          <w:szCs w:val="24"/>
          <w:u w:val="single"/>
        </w:rPr>
        <w:t>Breach by Purchaser</w:t>
      </w:r>
      <w:r w:rsidRPr="002250BD">
        <w:rPr>
          <w:rFonts w:asciiTheme="majorBidi" w:hAnsiTheme="majorBidi" w:cstheme="majorBidi"/>
          <w:szCs w:val="24"/>
        </w:rPr>
        <w:t xml:space="preserve">.  Time is of the essence with respect to Purchaser’s obligations hereunder.  If Purchaser fails to comply with any of its obligations hereunder, Seller shall be entitled to (a) treat this Agreement as terminated and sue for actual damages, or (b) seek specific performance of this Agreement. </w:t>
      </w:r>
    </w:p>
    <w:p w:rsidRPr="00A74A68" w:rsidR="0003550C" w:rsidP="0003550C" w:rsidRDefault="00D46C7A" w14:paraId="5D721711" w14:textId="34A44A0D">
      <w:pPr>
        <w:pStyle w:val="Legal3L2"/>
        <w:rPr>
          <w:rFonts w:asciiTheme="majorBidi" w:hAnsiTheme="majorBidi" w:cstheme="majorBidi"/>
          <w:szCs w:val="24"/>
        </w:rPr>
      </w:pPr>
      <w:r w:rsidRPr="00A74A68">
        <w:rPr>
          <w:rFonts w:asciiTheme="majorBidi" w:hAnsiTheme="majorBidi" w:cstheme="majorBidi"/>
          <w:szCs w:val="24"/>
          <w:u w:val="single"/>
        </w:rPr>
        <w:t>Indemnification</w:t>
      </w:r>
      <w:r w:rsidRPr="00A74A68">
        <w:rPr>
          <w:rFonts w:asciiTheme="majorBidi" w:hAnsiTheme="majorBidi" w:cstheme="majorBidi"/>
          <w:szCs w:val="24"/>
        </w:rPr>
        <w:t xml:space="preserve">. Purchaser acknowledges that Seller has entered into the Backstage Purchase Agreement for the benefit of Purchaser.  </w:t>
      </w:r>
      <w:r w:rsidRPr="00A74A68" w:rsidR="0003550C">
        <w:rPr>
          <w:rFonts w:asciiTheme="majorBidi" w:hAnsiTheme="majorBidi" w:cstheme="majorBidi"/>
          <w:szCs w:val="24"/>
        </w:rPr>
        <w:t xml:space="preserve">To the fullest extent allowed under Alabama law, </w:t>
      </w:r>
      <w:bookmarkStart w:name="_Hlk93603632" w:id="3"/>
      <w:r w:rsidRPr="00A74A68" w:rsidR="0003550C">
        <w:rPr>
          <w:rFonts w:asciiTheme="majorBidi" w:hAnsiTheme="majorBidi" w:cstheme="majorBidi"/>
          <w:szCs w:val="24"/>
        </w:rPr>
        <w:t xml:space="preserve">Purchaser shall indemnify, defend and hold harmless Seller, its affiliates, employees, agents and contractors (“Seller Parties”) against any claims, costs, and liabilities asserted against any Seller Party relating to the Backstage Purchase Agreement </w:t>
      </w:r>
      <w:r w:rsidRPr="00A74A68" w:rsidR="0003550C">
        <w:rPr>
          <w:szCs w:val="24"/>
        </w:rPr>
        <w:t>arising solely from Purchaser’s acts or omissions following Purchaser’s written direction to Seller</w:t>
      </w:r>
      <w:r w:rsidRPr="00A74A68" w:rsidR="0003550C">
        <w:rPr>
          <w:rFonts w:asciiTheme="majorBidi" w:hAnsiTheme="majorBidi" w:cstheme="majorBidi"/>
          <w:szCs w:val="24"/>
        </w:rPr>
        <w:t>; provided, however, that Purchaser shall have no obligation to indemnify any Seller Party for any claims, costs, or liabilities arising out of Seller’s n</w:t>
      </w:r>
      <w:r w:rsidRPr="00A74A68" w:rsidR="0003550C">
        <w:rPr>
          <w:szCs w:val="24"/>
        </w:rPr>
        <w:t>egligence, breach, or failure to comply with Backstage obligations.</w:t>
      </w:r>
    </w:p>
    <w:p w:rsidRPr="0003550C" w:rsidR="00D46C7A" w:rsidP="003205D4" w:rsidRDefault="00D46C7A" w14:paraId="2801532E" w14:textId="4DB96C07">
      <w:pPr>
        <w:pStyle w:val="Legal3L1"/>
        <w:numPr>
          <w:ilvl w:val="0"/>
          <w:numId w:val="0"/>
        </w:numPr>
        <w:jc w:val="both"/>
        <w:rPr>
          <w:rFonts w:asciiTheme="majorBidi" w:hAnsiTheme="majorBidi" w:cstheme="majorBidi"/>
          <w:b/>
          <w:bCs/>
          <w:szCs w:val="24"/>
        </w:rPr>
      </w:pPr>
      <w:r w:rsidRPr="0003550C">
        <w:rPr>
          <w:rFonts w:asciiTheme="majorBidi" w:hAnsiTheme="majorBidi" w:cstheme="majorBidi"/>
          <w:b/>
          <w:bCs/>
          <w:szCs w:val="24"/>
        </w:rPr>
        <w:t>PURCHASER HEREBY ACCEPTS THE PROPERTY “AS-IS”, WITHOUT ANY OTHER REPRESENTATIONS OR WARRANTIES AS TO THE CONDITION OF THE PROPERTY OR TITLE.</w:t>
      </w:r>
      <w:bookmarkEnd w:id="3"/>
    </w:p>
    <w:p w:rsidRPr="002250BD" w:rsidR="00D46C7A" w:rsidP="00D46C7A" w:rsidRDefault="00D46C7A" w14:paraId="5BD43675" w14:textId="77777777">
      <w:pPr>
        <w:pStyle w:val="Legal3L1"/>
        <w:rPr>
          <w:rFonts w:asciiTheme="majorBidi" w:hAnsiTheme="majorBidi" w:cstheme="majorBidi"/>
          <w:szCs w:val="24"/>
        </w:rPr>
      </w:pPr>
      <w:r w:rsidRPr="002250BD">
        <w:rPr>
          <w:rFonts w:asciiTheme="majorBidi" w:hAnsiTheme="majorBidi" w:cstheme="majorBidi"/>
          <w:szCs w:val="24"/>
          <w:u w:val="single"/>
        </w:rPr>
        <w:t>Miscellaneous.</w:t>
      </w:r>
    </w:p>
    <w:p w:rsidRPr="002250BD" w:rsidR="00D46C7A" w:rsidP="00D46C7A" w:rsidRDefault="00D46C7A" w14:paraId="55B60C58" w14:textId="77777777">
      <w:pPr>
        <w:pStyle w:val="Legal3L2"/>
        <w:rPr>
          <w:rFonts w:asciiTheme="majorBidi" w:hAnsiTheme="majorBidi" w:cstheme="majorBidi"/>
          <w:szCs w:val="24"/>
        </w:rPr>
      </w:pPr>
      <w:r w:rsidRPr="002250BD">
        <w:rPr>
          <w:rFonts w:asciiTheme="majorBidi" w:hAnsiTheme="majorBidi" w:cstheme="majorBidi"/>
          <w:szCs w:val="24"/>
          <w:u w:val="single"/>
        </w:rPr>
        <w:t>Survival</w:t>
      </w:r>
      <w:r w:rsidRPr="002250BD">
        <w:rPr>
          <w:rFonts w:asciiTheme="majorBidi" w:hAnsiTheme="majorBidi" w:cstheme="majorBidi"/>
          <w:szCs w:val="24"/>
        </w:rPr>
        <w:t>.  All of the parties’ representations, warranties, covenants and agreements hereunder, to the extent not fully performed or discharged by or through the Closing, shall not be deemed merged into any instrument delivered at Closing and shall survive Closing.</w:t>
      </w:r>
    </w:p>
    <w:p w:rsidRPr="002250BD" w:rsidR="00D46C7A" w:rsidP="00D46C7A" w:rsidRDefault="00D46C7A" w14:paraId="440462E3" w14:textId="1E0B07CD">
      <w:pPr>
        <w:pStyle w:val="Legal3L2"/>
        <w:rPr>
          <w:rFonts w:asciiTheme="majorBidi" w:hAnsiTheme="majorBidi" w:cstheme="majorBidi"/>
          <w:szCs w:val="24"/>
        </w:rPr>
      </w:pPr>
      <w:r w:rsidRPr="002250BD">
        <w:rPr>
          <w:rFonts w:asciiTheme="majorBidi" w:hAnsiTheme="majorBidi" w:cstheme="majorBidi"/>
          <w:szCs w:val="24"/>
          <w:u w:val="single"/>
        </w:rPr>
        <w:t>Dates</w:t>
      </w:r>
      <w:r w:rsidRPr="002250BD">
        <w:rPr>
          <w:rFonts w:asciiTheme="majorBidi" w:hAnsiTheme="majorBidi" w:cstheme="majorBidi"/>
          <w:szCs w:val="24"/>
        </w:rPr>
        <w:t xml:space="preserve">.  If any date set forth in this Agreement for the delivery of any document or the happening of any event (such as, for example, the expiration of the Termination Period or the </w:t>
      </w:r>
      <w:r w:rsidRPr="002250BD" w:rsidR="0021311C">
        <w:rPr>
          <w:rFonts w:asciiTheme="majorBidi" w:hAnsiTheme="majorBidi" w:cstheme="majorBidi"/>
          <w:szCs w:val="24"/>
        </w:rPr>
        <w:t>d</w:t>
      </w:r>
      <w:r w:rsidRPr="002250BD">
        <w:rPr>
          <w:rFonts w:asciiTheme="majorBidi" w:hAnsiTheme="majorBidi" w:cstheme="majorBidi"/>
          <w:szCs w:val="24"/>
        </w:rPr>
        <w:t>ate of Closing) should, under the terms hereof, fall on a weekend or holiday, then such date shall be automatically extended to the next succeeding weekday that is not a holiday.</w:t>
      </w:r>
    </w:p>
    <w:p w:rsidRPr="002250BD" w:rsidR="00D46C7A" w:rsidP="00D46C7A" w:rsidRDefault="00D46C7A" w14:paraId="77526CE9" w14:textId="3FF41751">
      <w:pPr>
        <w:pStyle w:val="Legal3L2"/>
        <w:rPr>
          <w:rFonts w:asciiTheme="majorBidi" w:hAnsiTheme="majorBidi" w:cstheme="majorBidi"/>
          <w:szCs w:val="24"/>
        </w:rPr>
      </w:pPr>
      <w:r w:rsidRPr="002250BD">
        <w:rPr>
          <w:rFonts w:asciiTheme="majorBidi" w:hAnsiTheme="majorBidi" w:cstheme="majorBidi"/>
          <w:szCs w:val="24"/>
          <w:u w:val="single"/>
        </w:rPr>
        <w:t>Governing Law</w:t>
      </w:r>
      <w:r w:rsidRPr="002250BD">
        <w:rPr>
          <w:rFonts w:asciiTheme="majorBidi" w:hAnsiTheme="majorBidi" w:cstheme="majorBidi"/>
          <w:szCs w:val="24"/>
        </w:rPr>
        <w:t>.  This Agreement shall be construed and enforced in accordance with the internal laws of the State of Alabama.</w:t>
      </w:r>
      <w:r w:rsidR="000A148E">
        <w:rPr>
          <w:rFonts w:asciiTheme="majorBidi" w:hAnsiTheme="majorBidi" w:cstheme="majorBidi"/>
          <w:szCs w:val="24"/>
        </w:rPr>
        <w:t xml:space="preserve"> </w:t>
      </w:r>
      <w:r w:rsidR="000A148E">
        <w:rPr>
          <w:rFonts w:asciiTheme="majorBidi" w:hAnsiTheme="majorBidi" w:cstheme="majorBidi"/>
          <w:sz w:val="22"/>
          <w:szCs w:val="22"/>
        </w:rPr>
        <w:t>The parties further agree that venue is proper in appropriate courts located in Montgomery County, Alabama</w:t>
      </w:r>
    </w:p>
    <w:p w:rsidRPr="002250BD" w:rsidR="00D46C7A" w:rsidP="00D46C7A" w:rsidRDefault="00D46C7A" w14:paraId="30292DAB" w14:textId="77777777">
      <w:pPr>
        <w:pStyle w:val="Legal3L2"/>
        <w:rPr>
          <w:rFonts w:asciiTheme="majorBidi" w:hAnsiTheme="majorBidi" w:cstheme="majorBidi"/>
          <w:szCs w:val="24"/>
        </w:rPr>
      </w:pPr>
      <w:r w:rsidRPr="002250BD">
        <w:rPr>
          <w:rFonts w:asciiTheme="majorBidi" w:hAnsiTheme="majorBidi" w:cstheme="majorBidi"/>
          <w:szCs w:val="24"/>
          <w:u w:val="single"/>
        </w:rPr>
        <w:t>Attorney’s Fees</w:t>
      </w:r>
      <w:r w:rsidRPr="002250BD">
        <w:rPr>
          <w:rFonts w:asciiTheme="majorBidi" w:hAnsiTheme="majorBidi" w:cstheme="majorBidi"/>
          <w:szCs w:val="24"/>
        </w:rPr>
        <w:t xml:space="preserve">.  If either party commences an action to enforce the terms of, or to resolve a dispute concerning, this Agreement, the prevailing party in any such action shall be entitled to recover all costs and expenses incurred by such party in connection with such action, including, but not limited to, reasonable attorney’s fees and court costs  </w:t>
      </w:r>
    </w:p>
    <w:p w:rsidRPr="002250BD" w:rsidR="00D46C7A" w:rsidP="00D46C7A" w:rsidRDefault="00D46C7A" w14:paraId="36C9B8E3" w14:textId="77777777">
      <w:pPr>
        <w:pStyle w:val="Legal3L2"/>
        <w:rPr>
          <w:rFonts w:asciiTheme="majorBidi" w:hAnsiTheme="majorBidi" w:cstheme="majorBidi"/>
          <w:szCs w:val="24"/>
        </w:rPr>
      </w:pPr>
      <w:r w:rsidRPr="002250BD">
        <w:rPr>
          <w:rFonts w:asciiTheme="majorBidi" w:hAnsiTheme="majorBidi" w:cstheme="majorBidi"/>
          <w:szCs w:val="24"/>
          <w:u w:val="single"/>
        </w:rPr>
        <w:t>Notices</w:t>
      </w:r>
      <w:r w:rsidRPr="002250BD">
        <w:rPr>
          <w:rFonts w:asciiTheme="majorBidi" w:hAnsiTheme="majorBidi" w:cstheme="majorBidi"/>
          <w:szCs w:val="24"/>
        </w:rPr>
        <w:t>.  All notices, demands or other communications required or permitted to be given hereunder shall be in writing, and any and all such items shall be deemed to have been duly delivered upon personal delivery; or as of the immediately following business day after deposit with Federal Express or a similar overnight carrier service, addressed as follows; or as of the day when delivered if by electronic mail to the email addresses set forth below.</w:t>
      </w:r>
    </w:p>
    <w:p w:rsidRPr="002250BD" w:rsidR="00D46C7A" w:rsidP="00D46C7A" w:rsidRDefault="00D46C7A" w14:paraId="73C6A60B" w14:textId="77777777">
      <w:pPr>
        <w:jc w:val="both"/>
        <w:rPr>
          <w:rFonts w:asciiTheme="majorBidi" w:hAnsiTheme="majorBidi" w:cstheme="majorBidi"/>
          <w:bCs/>
          <w:u w:val="single"/>
        </w:rPr>
      </w:pPr>
      <w:r w:rsidRPr="002250BD">
        <w:rPr>
          <w:rFonts w:asciiTheme="majorBidi" w:hAnsiTheme="majorBidi" w:cstheme="majorBidi"/>
        </w:rPr>
        <w:tab/>
      </w:r>
      <w:r w:rsidRPr="002250BD">
        <w:rPr>
          <w:rFonts w:asciiTheme="majorBidi" w:hAnsiTheme="majorBidi" w:cstheme="majorBidi"/>
        </w:rPr>
        <w:tab/>
        <w:t>If to Purchaser:</w:t>
      </w:r>
      <w:r w:rsidRPr="002250BD">
        <w:rPr>
          <w:rFonts w:asciiTheme="majorBidi" w:hAnsiTheme="majorBidi" w:cstheme="majorBidi"/>
        </w:rPr>
        <w:tab/>
      </w:r>
      <w:r w:rsidRPr="002250BD">
        <w:rPr>
          <w:rFonts w:asciiTheme="majorBidi" w:hAnsiTheme="majorBidi" w:cstheme="majorBidi"/>
        </w:rPr>
        <w:tab/>
        <w:t>City of Montgomery</w:t>
      </w:r>
    </w:p>
    <w:p w:rsidRPr="002250BD" w:rsidR="00D46C7A" w:rsidP="00D46C7A" w:rsidRDefault="00D46C7A" w14:paraId="26DCDC13" w14:textId="77777777">
      <w:pPr>
        <w:ind w:left="3600"/>
        <w:jc w:val="both"/>
        <w:rPr>
          <w:rFonts w:asciiTheme="majorBidi" w:hAnsiTheme="majorBidi" w:cstheme="majorBidi"/>
        </w:rPr>
      </w:pPr>
      <w:r w:rsidRPr="002250BD">
        <w:rPr>
          <w:rFonts w:asciiTheme="majorBidi" w:hAnsiTheme="majorBidi" w:cstheme="majorBidi"/>
        </w:rPr>
        <w:t>_____________________</w:t>
      </w:r>
      <w:r w:rsidRPr="002250BD">
        <w:rPr>
          <w:rFonts w:asciiTheme="majorBidi" w:hAnsiTheme="majorBidi" w:cstheme="majorBidi"/>
        </w:rPr>
        <w:tab/>
      </w:r>
    </w:p>
    <w:p w:rsidRPr="002250BD" w:rsidR="00D46C7A" w:rsidP="00D46C7A" w:rsidRDefault="00D46C7A" w14:paraId="01F383EC" w14:textId="77777777">
      <w:pPr>
        <w:ind w:left="3600"/>
        <w:jc w:val="both"/>
        <w:rPr>
          <w:rFonts w:asciiTheme="majorBidi" w:hAnsiTheme="majorBidi" w:cstheme="majorBidi"/>
        </w:rPr>
      </w:pPr>
      <w:r w:rsidRPr="002250BD">
        <w:rPr>
          <w:rFonts w:asciiTheme="majorBidi" w:hAnsiTheme="majorBidi" w:cstheme="majorBidi"/>
        </w:rPr>
        <w:t>_____________________</w:t>
      </w:r>
      <w:r w:rsidRPr="002250BD">
        <w:rPr>
          <w:rFonts w:asciiTheme="majorBidi" w:hAnsiTheme="majorBidi" w:cstheme="majorBidi"/>
        </w:rPr>
        <w:tab/>
      </w:r>
    </w:p>
    <w:p w:rsidRPr="002250BD" w:rsidR="00D46C7A" w:rsidP="00D46C7A" w:rsidRDefault="00D46C7A" w14:paraId="76189EFE" w14:textId="77777777">
      <w:pPr>
        <w:ind w:left="3600"/>
        <w:jc w:val="both"/>
        <w:rPr>
          <w:rFonts w:asciiTheme="majorBidi" w:hAnsiTheme="majorBidi" w:cstheme="majorBidi"/>
          <w:u w:val="single"/>
        </w:rPr>
      </w:pPr>
      <w:r w:rsidRPr="002250BD">
        <w:rPr>
          <w:rFonts w:asciiTheme="majorBidi" w:hAnsiTheme="majorBidi" w:cstheme="majorBidi"/>
        </w:rPr>
        <w:t>_____________________</w:t>
      </w:r>
    </w:p>
    <w:p w:rsidRPr="002250BD" w:rsidR="00D46C7A" w:rsidP="00D46C7A" w:rsidRDefault="00D46C7A" w14:paraId="29986133" w14:textId="77777777">
      <w:pPr>
        <w:jc w:val="both"/>
        <w:rPr>
          <w:rFonts w:asciiTheme="majorBidi" w:hAnsiTheme="majorBidi" w:cstheme="majorBidi"/>
          <w:u w:val="single"/>
        </w:rPr>
      </w:pPr>
    </w:p>
    <w:p w:rsidRPr="002250BD" w:rsidR="00D46C7A" w:rsidP="00D46C7A" w:rsidRDefault="00D46C7A" w14:paraId="55D5B3B9" w14:textId="77777777">
      <w:pPr>
        <w:jc w:val="both"/>
        <w:rPr>
          <w:rFonts w:asciiTheme="majorBidi" w:hAnsiTheme="majorBidi" w:cstheme="majorBidi"/>
          <w:bCs/>
          <w:u w:val="single"/>
        </w:rPr>
      </w:pPr>
      <w:r w:rsidRPr="002250BD">
        <w:rPr>
          <w:rFonts w:asciiTheme="majorBidi" w:hAnsiTheme="majorBidi" w:cstheme="majorBidi"/>
        </w:rPr>
        <w:t xml:space="preserve"> </w:t>
      </w:r>
      <w:r w:rsidRPr="002250BD">
        <w:rPr>
          <w:rFonts w:asciiTheme="majorBidi" w:hAnsiTheme="majorBidi" w:cstheme="majorBidi"/>
        </w:rPr>
        <w:tab/>
      </w:r>
      <w:r w:rsidRPr="002250BD">
        <w:rPr>
          <w:rFonts w:asciiTheme="majorBidi" w:hAnsiTheme="majorBidi" w:cstheme="majorBidi"/>
        </w:rPr>
        <w:tab/>
        <w:t>If to Seller:</w:t>
      </w:r>
      <w:r w:rsidRPr="002250BD">
        <w:rPr>
          <w:rFonts w:asciiTheme="majorBidi" w:hAnsiTheme="majorBidi" w:cstheme="majorBidi"/>
        </w:rPr>
        <w:tab/>
      </w:r>
      <w:r w:rsidRPr="002250BD">
        <w:rPr>
          <w:rFonts w:asciiTheme="majorBidi" w:hAnsiTheme="majorBidi" w:cstheme="majorBidi"/>
        </w:rPr>
        <w:tab/>
        <w:t>Farpoint Investment Ventures LLC</w:t>
      </w:r>
    </w:p>
    <w:p w:rsidRPr="002250BD" w:rsidR="00D46C7A" w:rsidP="00D46C7A" w:rsidRDefault="00D46C7A" w14:paraId="025CA404" w14:textId="77777777">
      <w:pPr>
        <w:ind w:left="3600"/>
        <w:jc w:val="both"/>
        <w:rPr>
          <w:rFonts w:asciiTheme="majorBidi" w:hAnsiTheme="majorBidi" w:cstheme="majorBidi"/>
        </w:rPr>
      </w:pPr>
      <w:r w:rsidRPr="002250BD">
        <w:rPr>
          <w:rFonts w:asciiTheme="majorBidi" w:hAnsiTheme="majorBidi" w:cstheme="majorBidi"/>
        </w:rPr>
        <w:t>120 N. Racine, Suite 200</w:t>
      </w:r>
      <w:r w:rsidRPr="002250BD">
        <w:rPr>
          <w:rFonts w:asciiTheme="majorBidi" w:hAnsiTheme="majorBidi" w:cstheme="majorBidi"/>
        </w:rPr>
        <w:tab/>
      </w:r>
    </w:p>
    <w:p w:rsidRPr="002250BD" w:rsidR="00D46C7A" w:rsidP="00D46C7A" w:rsidRDefault="00D46C7A" w14:paraId="370CDED5" w14:textId="77777777">
      <w:pPr>
        <w:ind w:left="3600"/>
        <w:jc w:val="both"/>
        <w:rPr>
          <w:rFonts w:asciiTheme="majorBidi" w:hAnsiTheme="majorBidi" w:cstheme="majorBidi"/>
        </w:rPr>
      </w:pPr>
      <w:r w:rsidRPr="002250BD">
        <w:rPr>
          <w:rFonts w:asciiTheme="majorBidi" w:hAnsiTheme="majorBidi" w:cstheme="majorBidi"/>
        </w:rPr>
        <w:t>Chicago, Illinois 60607</w:t>
      </w:r>
      <w:r w:rsidRPr="002250BD">
        <w:rPr>
          <w:rFonts w:asciiTheme="majorBidi" w:hAnsiTheme="majorBidi" w:cstheme="majorBidi"/>
        </w:rPr>
        <w:tab/>
      </w:r>
      <w:r w:rsidRPr="002250BD">
        <w:rPr>
          <w:rFonts w:asciiTheme="majorBidi" w:hAnsiTheme="majorBidi" w:cstheme="majorBidi"/>
        </w:rPr>
        <w:tab/>
      </w:r>
    </w:p>
    <w:p w:rsidRPr="002250BD" w:rsidR="00D46C7A" w:rsidP="00D46C7A" w:rsidRDefault="00D46C7A" w14:paraId="03CD5FC3" w14:textId="1EAE9FC6">
      <w:pPr>
        <w:ind w:left="3600"/>
        <w:jc w:val="both"/>
        <w:rPr>
          <w:rFonts w:asciiTheme="majorBidi" w:hAnsiTheme="majorBidi" w:cstheme="majorBidi"/>
          <w:u w:val="single"/>
        </w:rPr>
      </w:pPr>
      <w:r w:rsidRPr="002250BD">
        <w:rPr>
          <w:rFonts w:asciiTheme="majorBidi" w:hAnsiTheme="majorBidi" w:cstheme="majorBidi"/>
        </w:rPr>
        <w:t>Email:pweitz@farpointdev.com</w:t>
      </w:r>
      <w:r w:rsidRPr="002250BD">
        <w:rPr>
          <w:rFonts w:asciiTheme="majorBidi" w:hAnsiTheme="majorBidi" w:cstheme="majorBidi"/>
        </w:rPr>
        <w:br/>
        <w:t>E-mail:  jfixler@farpointdev.com</w:t>
      </w:r>
    </w:p>
    <w:p w:rsidRPr="002250BD" w:rsidR="00D46C7A" w:rsidP="00D46C7A" w:rsidRDefault="00D46C7A" w14:paraId="78DF5FCD" w14:textId="77777777">
      <w:pPr>
        <w:jc w:val="both"/>
        <w:rPr>
          <w:rFonts w:asciiTheme="majorBidi" w:hAnsiTheme="majorBidi" w:cstheme="majorBidi"/>
          <w:u w:val="single"/>
        </w:rPr>
      </w:pP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p>
    <w:p w:rsidRPr="002250BD" w:rsidR="00D46C7A" w:rsidP="00D46C7A" w:rsidRDefault="00D46C7A" w14:paraId="2C6B42DF" w14:textId="77777777">
      <w:pPr>
        <w:jc w:val="both"/>
        <w:rPr>
          <w:rFonts w:asciiTheme="majorBidi" w:hAnsiTheme="majorBidi" w:cstheme="majorBidi"/>
        </w:rPr>
      </w:pPr>
      <w:r w:rsidRPr="002250BD">
        <w:rPr>
          <w:rFonts w:asciiTheme="majorBidi" w:hAnsiTheme="majorBidi" w:cstheme="majorBidi"/>
        </w:rPr>
        <w:tab/>
      </w:r>
      <w:r w:rsidRPr="002250BD">
        <w:rPr>
          <w:rFonts w:asciiTheme="majorBidi" w:hAnsiTheme="majorBidi" w:cstheme="majorBidi"/>
        </w:rPr>
        <w:tab/>
        <w:t>With a copy to:</w:t>
      </w:r>
      <w:r w:rsidRPr="002250BD">
        <w:rPr>
          <w:rFonts w:asciiTheme="majorBidi" w:hAnsiTheme="majorBidi" w:cstheme="majorBidi"/>
        </w:rPr>
        <w:tab/>
      </w:r>
      <w:r w:rsidRPr="002250BD">
        <w:rPr>
          <w:rFonts w:asciiTheme="majorBidi" w:hAnsiTheme="majorBidi" w:cstheme="majorBidi"/>
        </w:rPr>
        <w:tab/>
        <w:t>Rebecca Mitich</w:t>
      </w:r>
    </w:p>
    <w:p w:rsidRPr="002250BD" w:rsidR="00D46C7A" w:rsidP="00D46C7A" w:rsidRDefault="00D46C7A" w14:paraId="29F1212E" w14:textId="77777777">
      <w:pPr>
        <w:jc w:val="both"/>
        <w:rPr>
          <w:rFonts w:asciiTheme="majorBidi" w:hAnsiTheme="majorBidi" w:cstheme="majorBidi"/>
        </w:rPr>
      </w:pP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t>Husch Blackwell LLP</w:t>
      </w:r>
      <w:r w:rsidRPr="002250BD">
        <w:rPr>
          <w:rFonts w:asciiTheme="majorBidi" w:hAnsiTheme="majorBidi" w:cstheme="majorBidi"/>
        </w:rPr>
        <w:tab/>
      </w:r>
      <w:r w:rsidRPr="002250BD">
        <w:rPr>
          <w:rFonts w:asciiTheme="majorBidi" w:hAnsiTheme="majorBidi" w:cstheme="majorBidi"/>
        </w:rPr>
        <w:tab/>
      </w:r>
    </w:p>
    <w:p w:rsidRPr="002250BD" w:rsidR="00D46C7A" w:rsidP="00D46C7A" w:rsidRDefault="00D46C7A" w14:paraId="2292B615" w14:textId="77777777">
      <w:pPr>
        <w:jc w:val="both"/>
        <w:rPr>
          <w:rFonts w:asciiTheme="majorBidi" w:hAnsiTheme="majorBidi" w:cstheme="majorBidi"/>
        </w:rPr>
      </w:pP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t>511 N. Broadway, Suite 1100</w:t>
      </w:r>
    </w:p>
    <w:p w:rsidRPr="002250BD" w:rsidR="00D46C7A" w:rsidP="00D46C7A" w:rsidRDefault="00D46C7A" w14:paraId="71600B55" w14:textId="77777777">
      <w:pPr>
        <w:jc w:val="both"/>
        <w:rPr>
          <w:rFonts w:asciiTheme="majorBidi" w:hAnsiTheme="majorBidi" w:cstheme="majorBidi"/>
        </w:rPr>
      </w:pP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t xml:space="preserve">Milwaukee, WI  53202 </w:t>
      </w:r>
    </w:p>
    <w:p w:rsidRPr="002250BD" w:rsidR="00D46C7A" w:rsidP="00D46C7A" w:rsidRDefault="00D46C7A" w14:paraId="0C9FB591" w14:textId="77777777">
      <w:pPr>
        <w:jc w:val="both"/>
        <w:rPr>
          <w:rFonts w:asciiTheme="majorBidi" w:hAnsiTheme="majorBidi" w:cstheme="majorBidi"/>
        </w:rPr>
      </w:pP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t xml:space="preserve">E-mail:  </w:t>
      </w:r>
      <w:hyperlink w:history="1" r:id="rId8">
        <w:r w:rsidRPr="002250BD">
          <w:rPr>
            <w:rStyle w:val="Hyperlink"/>
            <w:rFonts w:asciiTheme="majorBidi" w:hAnsiTheme="majorBidi" w:cstheme="majorBidi"/>
          </w:rPr>
          <w:t>rebecca.mitich@huschblackwell.com</w:t>
        </w:r>
      </w:hyperlink>
    </w:p>
    <w:p w:rsidRPr="002250BD" w:rsidR="00D46C7A" w:rsidP="00D46C7A" w:rsidRDefault="00D46C7A" w14:paraId="66052E8D" w14:textId="77777777">
      <w:pPr>
        <w:jc w:val="both"/>
        <w:rPr>
          <w:rFonts w:asciiTheme="majorBidi" w:hAnsiTheme="majorBidi" w:cstheme="majorBidi"/>
        </w:rPr>
      </w:pPr>
    </w:p>
    <w:p w:rsidRPr="002250BD" w:rsidR="00D46C7A" w:rsidP="00D46C7A" w:rsidRDefault="00D46C7A" w14:paraId="6FD7BDDF" w14:textId="77777777">
      <w:pPr>
        <w:jc w:val="both"/>
        <w:rPr>
          <w:rFonts w:asciiTheme="majorBidi" w:hAnsiTheme="majorBidi" w:cstheme="majorBidi"/>
        </w:rPr>
      </w:pPr>
      <w:r w:rsidRPr="002250BD">
        <w:rPr>
          <w:rFonts w:asciiTheme="majorBidi" w:hAnsiTheme="majorBidi" w:cstheme="majorBidi"/>
        </w:rPr>
        <w:t>Any address or email address fixed pursuant to the foregoing may be changed by the addressee by notice given pursuant to this Paragraph.</w:t>
      </w:r>
    </w:p>
    <w:p w:rsidRPr="002250BD" w:rsidR="00D46C7A" w:rsidP="00D46C7A" w:rsidRDefault="00D46C7A" w14:paraId="429C0E5F" w14:textId="77777777">
      <w:pPr>
        <w:jc w:val="both"/>
        <w:rPr>
          <w:rFonts w:asciiTheme="majorBidi" w:hAnsiTheme="majorBidi" w:cstheme="majorBidi"/>
        </w:rPr>
      </w:pPr>
    </w:p>
    <w:p w:rsidRPr="002250BD" w:rsidR="00D46C7A" w:rsidP="00D46C7A" w:rsidRDefault="00D46C7A" w14:paraId="77E01DD0" w14:textId="508A3485">
      <w:pPr>
        <w:pStyle w:val="Legal3L2"/>
        <w:rPr>
          <w:rFonts w:asciiTheme="majorBidi" w:hAnsiTheme="majorBidi" w:cstheme="majorBidi"/>
          <w:szCs w:val="24"/>
        </w:rPr>
      </w:pPr>
      <w:r w:rsidRPr="002250BD">
        <w:rPr>
          <w:rFonts w:asciiTheme="majorBidi" w:hAnsiTheme="majorBidi" w:cstheme="majorBidi"/>
          <w:szCs w:val="24"/>
          <w:u w:val="single"/>
        </w:rPr>
        <w:t>Assignment</w:t>
      </w:r>
      <w:r w:rsidRPr="002250BD">
        <w:rPr>
          <w:rFonts w:asciiTheme="majorBidi" w:hAnsiTheme="majorBidi" w:cstheme="majorBidi"/>
          <w:szCs w:val="24"/>
        </w:rPr>
        <w:t>.  Purchaser may assign this Agreement, in whole or in part, without the consent of Seller upon notice to Seller provided that any assignee shall assume all obligations imposed on Purchaser as if the assignee were the original purchaser under this Agreement, and no such assignment shall release the assignor from its obligations hereunder. Seller may assign this Agreement in whole without the consent of Purchaser to any entity to which the Backstage Purchase Agreement is assigned.</w:t>
      </w:r>
    </w:p>
    <w:p w:rsidRPr="002250BD" w:rsidR="00D46C7A" w:rsidP="00D46C7A" w:rsidRDefault="00D46C7A" w14:paraId="6BE4A374" w14:textId="77777777">
      <w:pPr>
        <w:pStyle w:val="Legal3L2"/>
        <w:rPr>
          <w:rFonts w:asciiTheme="majorBidi" w:hAnsiTheme="majorBidi" w:cstheme="majorBidi"/>
          <w:szCs w:val="24"/>
        </w:rPr>
      </w:pPr>
      <w:r w:rsidRPr="002250BD">
        <w:rPr>
          <w:rFonts w:asciiTheme="majorBidi" w:hAnsiTheme="majorBidi" w:cstheme="majorBidi"/>
          <w:szCs w:val="24"/>
          <w:u w:val="single"/>
        </w:rPr>
        <w:t>Counterparts/Facsimile</w:t>
      </w:r>
      <w:r w:rsidRPr="002250BD">
        <w:rPr>
          <w:rFonts w:asciiTheme="majorBidi" w:hAnsiTheme="majorBidi" w:cstheme="majorBidi"/>
          <w:szCs w:val="24"/>
        </w:rPr>
        <w:t>.  This Agreement may be executed in any number of counterparts and by facsimile copy or “PDF” copy delivered by electronic mail, each of which shall be deemed to be an original instrument and all of which taken together shall constitute a single instrument.</w:t>
      </w:r>
    </w:p>
    <w:p w:rsidRPr="002250BD" w:rsidR="00D46C7A" w:rsidP="00D46C7A" w:rsidRDefault="00D46C7A" w14:paraId="3D5F92C0" w14:textId="77777777">
      <w:pPr>
        <w:pStyle w:val="Legal3L2"/>
        <w:numPr>
          <w:ilvl w:val="0"/>
          <w:numId w:val="0"/>
        </w:numPr>
        <w:rPr>
          <w:rFonts w:asciiTheme="majorBidi" w:hAnsiTheme="majorBidi" w:cstheme="majorBidi"/>
          <w:szCs w:val="24"/>
        </w:rPr>
      </w:pPr>
    </w:p>
    <w:p w:rsidRPr="002250BD" w:rsidR="00D46C7A" w:rsidP="00D46C7A" w:rsidRDefault="00D46C7A" w14:paraId="168DA219" w14:textId="77777777">
      <w:pPr>
        <w:pStyle w:val="BodyText"/>
        <w:jc w:val="center"/>
        <w:rPr>
          <w:rFonts w:asciiTheme="majorBidi" w:hAnsiTheme="majorBidi" w:cstheme="majorBidi"/>
        </w:rPr>
      </w:pPr>
      <w:r w:rsidRPr="002250BD">
        <w:rPr>
          <w:rFonts w:asciiTheme="majorBidi" w:hAnsiTheme="majorBidi" w:cstheme="majorBidi"/>
        </w:rPr>
        <w:t>[Signature Page Follows]</w:t>
      </w:r>
    </w:p>
    <w:p w:rsidRPr="002250BD" w:rsidR="00D46C7A" w:rsidP="00D46C7A" w:rsidRDefault="00D46C7A" w14:paraId="52906476" w14:textId="77777777">
      <w:pPr>
        <w:pStyle w:val="BodyText"/>
        <w:jc w:val="center"/>
        <w:rPr>
          <w:rFonts w:asciiTheme="majorBidi" w:hAnsiTheme="majorBidi" w:cstheme="majorBidi"/>
        </w:rPr>
      </w:pPr>
    </w:p>
    <w:p w:rsidRPr="002250BD" w:rsidR="00D46C7A" w:rsidP="00D46C7A" w:rsidRDefault="00D46C7A" w14:paraId="086AD25F" w14:textId="77777777">
      <w:pPr>
        <w:rPr>
          <w:rFonts w:asciiTheme="majorBidi" w:hAnsiTheme="majorBidi" w:cstheme="majorBidi"/>
        </w:rPr>
      </w:pPr>
      <w:r w:rsidRPr="002250BD">
        <w:rPr>
          <w:rFonts w:asciiTheme="majorBidi" w:hAnsiTheme="majorBidi" w:cstheme="majorBidi"/>
        </w:rPr>
        <w:br w:type="page"/>
      </w:r>
    </w:p>
    <w:p w:rsidRPr="002250BD" w:rsidR="00D46C7A" w:rsidP="00D46C7A" w:rsidRDefault="00D46C7A" w14:paraId="05152F47" w14:textId="77777777">
      <w:pPr>
        <w:pStyle w:val="BodyTextFirstIndent"/>
        <w:jc w:val="both"/>
        <w:rPr>
          <w:rFonts w:asciiTheme="majorBidi" w:hAnsiTheme="majorBidi" w:cstheme="majorBidi"/>
        </w:rPr>
      </w:pPr>
      <w:r w:rsidRPr="002250BD">
        <w:rPr>
          <w:rFonts w:asciiTheme="majorBidi" w:hAnsiTheme="majorBidi" w:cstheme="majorBidi"/>
        </w:rPr>
        <w:t>IN WITNESS WHEREOF, the parties have executed this Agreement as of the Effective Date.</w:t>
      </w:r>
    </w:p>
    <w:p w:rsidRPr="002250BD" w:rsidR="00D46C7A" w:rsidP="00D46C7A" w:rsidRDefault="00D46C7A" w14:paraId="18C36314" w14:textId="77777777">
      <w:pPr>
        <w:jc w:val="both"/>
        <w:rPr>
          <w:rFonts w:asciiTheme="majorBidi" w:hAnsiTheme="majorBidi" w:cstheme="majorBidi"/>
        </w:rPr>
      </w:pP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b/>
          <w:bCs/>
        </w:rPr>
        <w:t>PURCHASER:</w:t>
      </w:r>
    </w:p>
    <w:p w:rsidRPr="002250BD" w:rsidR="00D46C7A" w:rsidP="00D46C7A" w:rsidRDefault="00D46C7A" w14:paraId="1ABCB728" w14:textId="77777777">
      <w:pPr>
        <w:jc w:val="both"/>
        <w:rPr>
          <w:rFonts w:asciiTheme="majorBidi" w:hAnsiTheme="majorBidi" w:cstheme="majorBidi"/>
        </w:rPr>
      </w:pPr>
    </w:p>
    <w:p w:rsidRPr="002250BD" w:rsidR="00D46C7A" w:rsidP="00D46C7A" w:rsidRDefault="00D46C7A" w14:paraId="54CB388C" w14:textId="77777777">
      <w:pPr>
        <w:ind w:left="4320"/>
        <w:jc w:val="both"/>
        <w:rPr>
          <w:rFonts w:asciiTheme="majorBidi" w:hAnsiTheme="majorBidi" w:cstheme="majorBidi"/>
          <w:b/>
          <w:bCs/>
        </w:rPr>
      </w:pPr>
      <w:r w:rsidRPr="002250BD">
        <w:rPr>
          <w:rFonts w:asciiTheme="majorBidi" w:hAnsiTheme="majorBidi" w:cstheme="majorBidi"/>
          <w:b/>
          <w:bCs/>
        </w:rPr>
        <w:t>City of Montgomery</w:t>
      </w:r>
    </w:p>
    <w:p w:rsidRPr="002250BD" w:rsidR="00D46C7A" w:rsidP="00D46C7A" w:rsidRDefault="00D46C7A" w14:paraId="1345237C" w14:textId="77777777">
      <w:pPr>
        <w:jc w:val="both"/>
        <w:rPr>
          <w:rFonts w:asciiTheme="majorBidi" w:hAnsiTheme="majorBidi" w:cstheme="majorBidi"/>
        </w:rPr>
      </w:pPr>
    </w:p>
    <w:p w:rsidRPr="002250BD" w:rsidR="00D46C7A" w:rsidP="00D46C7A" w:rsidRDefault="00D46C7A" w14:paraId="5E6F109B" w14:textId="77777777">
      <w:pPr>
        <w:jc w:val="both"/>
        <w:rPr>
          <w:rFonts w:asciiTheme="majorBidi" w:hAnsiTheme="majorBidi" w:cstheme="majorBidi"/>
        </w:rPr>
      </w:pPr>
    </w:p>
    <w:p w:rsidRPr="002250BD" w:rsidR="00D46C7A" w:rsidP="00D46C7A" w:rsidRDefault="00D46C7A" w14:paraId="65DCEBDD" w14:textId="77777777">
      <w:pPr>
        <w:jc w:val="both"/>
        <w:rPr>
          <w:rFonts w:asciiTheme="majorBidi" w:hAnsiTheme="majorBidi" w:cstheme="majorBidi"/>
          <w:u w:val="single"/>
        </w:rPr>
      </w:pP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t>By:</w:t>
      </w:r>
      <w:r w:rsidRPr="002250BD">
        <w:rPr>
          <w:rFonts w:asciiTheme="majorBidi" w:hAnsiTheme="majorBidi" w:cstheme="majorBidi"/>
        </w:rPr>
        <w:tab/>
        <w:t>_________________________________</w:t>
      </w:r>
    </w:p>
    <w:p w:rsidRPr="002250BD" w:rsidR="00D46C7A" w:rsidP="00D46C7A" w:rsidRDefault="00D46C7A" w14:paraId="67516A27" w14:textId="77777777">
      <w:pPr>
        <w:jc w:val="both"/>
        <w:rPr>
          <w:rFonts w:asciiTheme="majorBidi" w:hAnsiTheme="majorBidi" w:cstheme="majorBidi"/>
          <w:u w:val="single"/>
        </w:rPr>
      </w:pP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t>Name:</w:t>
      </w:r>
      <w:r w:rsidRPr="002250BD">
        <w:rPr>
          <w:rFonts w:asciiTheme="majorBidi" w:hAnsiTheme="majorBidi" w:cstheme="majorBidi"/>
        </w:rPr>
        <w:tab/>
        <w:t>_________________________________</w:t>
      </w:r>
      <w:r w:rsidRPr="002250BD">
        <w:rPr>
          <w:rFonts w:asciiTheme="majorBidi" w:hAnsiTheme="majorBidi" w:cstheme="majorBidi"/>
        </w:rPr>
        <w:br/>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t>Title:</w:t>
      </w:r>
      <w:r w:rsidRPr="002250BD">
        <w:rPr>
          <w:rFonts w:asciiTheme="majorBidi" w:hAnsiTheme="majorBidi" w:cstheme="majorBidi"/>
        </w:rPr>
        <w:tab/>
        <w:t>_________________________________</w:t>
      </w:r>
    </w:p>
    <w:p w:rsidRPr="002250BD" w:rsidR="00D46C7A" w:rsidP="00D46C7A" w:rsidRDefault="00D46C7A" w14:paraId="39625773" w14:textId="77777777">
      <w:pPr>
        <w:jc w:val="both"/>
        <w:rPr>
          <w:rFonts w:asciiTheme="majorBidi" w:hAnsiTheme="majorBidi" w:cstheme="majorBidi"/>
        </w:rPr>
      </w:pP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p>
    <w:p w:rsidRPr="002250BD" w:rsidR="00D46C7A" w:rsidP="00D46C7A" w:rsidRDefault="00D46C7A" w14:paraId="0CC1A53B" w14:textId="77777777">
      <w:pPr>
        <w:jc w:val="both"/>
        <w:rPr>
          <w:rFonts w:asciiTheme="majorBidi" w:hAnsiTheme="majorBidi" w:cstheme="majorBidi"/>
        </w:rPr>
      </w:pPr>
    </w:p>
    <w:p w:rsidRPr="002250BD" w:rsidR="00D46C7A" w:rsidP="00D46C7A" w:rsidRDefault="00D46C7A" w14:paraId="7BEC82B9" w14:textId="77777777">
      <w:pPr>
        <w:jc w:val="both"/>
        <w:rPr>
          <w:rFonts w:asciiTheme="majorBidi" w:hAnsiTheme="majorBidi" w:cstheme="majorBidi"/>
        </w:rPr>
      </w:pP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b/>
          <w:bCs/>
        </w:rPr>
        <w:t>SELLER:</w:t>
      </w:r>
    </w:p>
    <w:p w:rsidRPr="002250BD" w:rsidR="00D46C7A" w:rsidP="00D46C7A" w:rsidRDefault="00D46C7A" w14:paraId="3B5FFF8C" w14:textId="77777777">
      <w:pPr>
        <w:jc w:val="both"/>
        <w:rPr>
          <w:rFonts w:asciiTheme="majorBidi" w:hAnsiTheme="majorBidi" w:cstheme="majorBidi"/>
        </w:rPr>
      </w:pPr>
    </w:p>
    <w:p w:rsidRPr="002250BD" w:rsidR="00D46C7A" w:rsidP="00D46C7A" w:rsidRDefault="00D46C7A" w14:paraId="6CDB7FF0" w14:textId="77777777">
      <w:pPr>
        <w:jc w:val="both"/>
        <w:rPr>
          <w:rFonts w:asciiTheme="majorBidi" w:hAnsiTheme="majorBidi" w:cstheme="majorBidi"/>
        </w:rPr>
      </w:pP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t xml:space="preserve">Farpoint Investment Ventures LLC, </w:t>
      </w:r>
    </w:p>
    <w:p w:rsidRPr="002250BD" w:rsidR="00D46C7A" w:rsidP="00D46C7A" w:rsidRDefault="00D46C7A" w14:paraId="3BC81179" w14:textId="77777777">
      <w:pPr>
        <w:ind w:left="3600" w:firstLine="720"/>
        <w:jc w:val="both"/>
        <w:rPr>
          <w:rFonts w:asciiTheme="majorBidi" w:hAnsiTheme="majorBidi" w:cstheme="majorBidi"/>
          <w:b/>
          <w:bCs/>
        </w:rPr>
      </w:pPr>
      <w:r w:rsidRPr="002250BD">
        <w:rPr>
          <w:rFonts w:asciiTheme="majorBidi" w:hAnsiTheme="majorBidi" w:cstheme="majorBidi"/>
        </w:rPr>
        <w:t>a Delaware limited liability company</w:t>
      </w:r>
    </w:p>
    <w:p w:rsidRPr="002250BD" w:rsidR="00D46C7A" w:rsidP="00D46C7A" w:rsidRDefault="00D46C7A" w14:paraId="05532F65" w14:textId="77777777">
      <w:pPr>
        <w:jc w:val="both"/>
        <w:rPr>
          <w:rFonts w:asciiTheme="majorBidi" w:hAnsiTheme="majorBidi" w:cstheme="majorBidi"/>
        </w:rPr>
      </w:pPr>
    </w:p>
    <w:p w:rsidRPr="002250BD" w:rsidR="00D46C7A" w:rsidP="00D46C7A" w:rsidRDefault="00D46C7A" w14:paraId="634DE066" w14:textId="77777777">
      <w:pPr>
        <w:jc w:val="both"/>
        <w:rPr>
          <w:rFonts w:asciiTheme="majorBidi" w:hAnsiTheme="majorBidi" w:cstheme="majorBidi"/>
        </w:rPr>
      </w:pPr>
    </w:p>
    <w:p w:rsidRPr="002250BD" w:rsidR="00D46C7A" w:rsidP="00D46C7A" w:rsidRDefault="00D46C7A" w14:paraId="3DA6976D" w14:textId="77777777">
      <w:pPr>
        <w:jc w:val="both"/>
        <w:rPr>
          <w:rFonts w:asciiTheme="majorBidi" w:hAnsiTheme="majorBidi" w:cstheme="majorBidi"/>
          <w:u w:val="single"/>
        </w:rPr>
      </w:pP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t>By:</w:t>
      </w:r>
      <w:r w:rsidRPr="002250BD">
        <w:rPr>
          <w:rFonts w:asciiTheme="majorBidi" w:hAnsiTheme="majorBidi" w:cstheme="majorBidi"/>
        </w:rPr>
        <w:tab/>
        <w:t>_________________________________</w:t>
      </w:r>
    </w:p>
    <w:p w:rsidRPr="002250BD" w:rsidR="00D46C7A" w:rsidP="00D46C7A" w:rsidRDefault="00D46C7A" w14:paraId="3B0BF96E" w14:textId="77777777">
      <w:pPr>
        <w:rPr>
          <w:rFonts w:asciiTheme="majorBidi" w:hAnsiTheme="majorBidi" w:cstheme="majorBidi"/>
        </w:rPr>
      </w:pP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t>Name:</w:t>
      </w:r>
      <w:r w:rsidRPr="002250BD">
        <w:rPr>
          <w:rFonts w:asciiTheme="majorBidi" w:hAnsiTheme="majorBidi" w:cstheme="majorBidi"/>
        </w:rPr>
        <w:tab/>
        <w:t>Peter Weitz, Authorized Signatory</w:t>
      </w:r>
      <w:r w:rsidRPr="002250BD">
        <w:rPr>
          <w:rFonts w:asciiTheme="majorBidi" w:hAnsiTheme="majorBidi" w:cstheme="majorBidi"/>
        </w:rPr>
        <w:br/>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p>
    <w:p w:rsidRPr="002250BD" w:rsidR="00D46C7A" w:rsidP="00D46C7A" w:rsidRDefault="00D46C7A" w14:paraId="556CB9B7" w14:textId="77777777">
      <w:pPr>
        <w:jc w:val="both"/>
        <w:rPr>
          <w:rFonts w:asciiTheme="majorBidi" w:hAnsiTheme="majorBidi" w:cstheme="majorBidi"/>
        </w:rPr>
      </w:pPr>
    </w:p>
    <w:p w:rsidRPr="002250BD" w:rsidR="00D46C7A" w:rsidP="00D46C7A" w:rsidRDefault="00D46C7A" w14:paraId="471D89A1" w14:textId="77777777">
      <w:pPr>
        <w:jc w:val="both"/>
        <w:rPr>
          <w:rFonts w:asciiTheme="majorBidi" w:hAnsiTheme="majorBidi" w:cstheme="majorBidi"/>
        </w:rPr>
      </w:pPr>
    </w:p>
    <w:p w:rsidRPr="002250BD" w:rsidR="00D46C7A" w:rsidP="00D46C7A" w:rsidRDefault="00D46C7A" w14:paraId="5335D1C2" w14:textId="77777777">
      <w:pPr>
        <w:jc w:val="both"/>
        <w:rPr>
          <w:rFonts w:asciiTheme="majorBidi" w:hAnsiTheme="majorBidi" w:cstheme="majorBidi"/>
        </w:rPr>
      </w:pPr>
    </w:p>
    <w:p w:rsidRPr="002250BD" w:rsidR="00D46C7A" w:rsidP="00D46C7A" w:rsidRDefault="00D46C7A" w14:paraId="52BCEB5F" w14:textId="77777777">
      <w:pPr>
        <w:rPr>
          <w:rFonts w:asciiTheme="majorBidi" w:hAnsiTheme="majorBidi" w:cstheme="majorBidi"/>
        </w:rPr>
      </w:pPr>
      <w:r w:rsidRPr="002250BD">
        <w:rPr>
          <w:rFonts w:asciiTheme="majorBidi" w:hAnsiTheme="majorBidi" w:cstheme="majorBidi"/>
        </w:rPr>
        <w:br w:type="page"/>
      </w:r>
    </w:p>
    <w:p w:rsidRPr="002250BD" w:rsidR="00D46C7A" w:rsidP="00D46C7A" w:rsidRDefault="00D46C7A" w14:paraId="349E8AEE" w14:textId="77777777">
      <w:pPr>
        <w:jc w:val="center"/>
        <w:rPr>
          <w:rFonts w:asciiTheme="majorBidi" w:hAnsiTheme="majorBidi" w:cstheme="majorBidi"/>
          <w:u w:val="single"/>
        </w:rPr>
      </w:pPr>
      <w:r w:rsidRPr="002250BD">
        <w:rPr>
          <w:rFonts w:asciiTheme="majorBidi" w:hAnsiTheme="majorBidi" w:cstheme="majorBidi"/>
          <w:u w:val="single"/>
        </w:rPr>
        <w:t>Exhibit A</w:t>
      </w:r>
    </w:p>
    <w:p w:rsidRPr="002250BD" w:rsidR="00D46C7A" w:rsidP="00D46C7A" w:rsidRDefault="00D46C7A" w14:paraId="4144AA1F" w14:textId="77777777">
      <w:pPr>
        <w:jc w:val="center"/>
        <w:rPr>
          <w:rFonts w:asciiTheme="majorBidi" w:hAnsiTheme="majorBidi" w:cstheme="majorBidi"/>
          <w:u w:val="single"/>
        </w:rPr>
      </w:pPr>
    </w:p>
    <w:p w:rsidRPr="002250BD" w:rsidR="00D46C7A" w:rsidP="00D46C7A" w:rsidRDefault="00D46C7A" w14:paraId="023F430E" w14:textId="77777777">
      <w:pPr>
        <w:jc w:val="center"/>
        <w:rPr>
          <w:rFonts w:asciiTheme="majorBidi" w:hAnsiTheme="majorBidi" w:cstheme="majorBidi"/>
          <w:u w:val="single"/>
        </w:rPr>
      </w:pPr>
      <w:r w:rsidRPr="002250BD">
        <w:rPr>
          <w:rFonts w:asciiTheme="majorBidi" w:hAnsiTheme="majorBidi" w:cstheme="majorBidi"/>
          <w:u w:val="single"/>
        </w:rPr>
        <w:t>[Insert Backstage Purchase Agreement]</w:t>
      </w:r>
    </w:p>
    <w:p w:rsidRPr="002250BD" w:rsidR="00D46C7A" w:rsidP="00D46C7A" w:rsidRDefault="00D46C7A" w14:paraId="4FFC10C1" w14:textId="77777777">
      <w:pPr>
        <w:jc w:val="both"/>
        <w:rPr>
          <w:rFonts w:asciiTheme="majorBidi" w:hAnsiTheme="majorBidi" w:cstheme="majorBidi"/>
        </w:rPr>
      </w:pPr>
    </w:p>
    <w:p w:rsidRPr="002250BD" w:rsidR="00D46C7A" w:rsidP="00D46C7A" w:rsidRDefault="00D46C7A" w14:paraId="141B9D73" w14:textId="77777777">
      <w:pPr>
        <w:jc w:val="both"/>
        <w:rPr>
          <w:rFonts w:asciiTheme="majorBidi" w:hAnsiTheme="majorBidi" w:cstheme="majorBidi"/>
        </w:rPr>
      </w:pPr>
    </w:p>
    <w:p w:rsidRPr="002250BD" w:rsidR="00D46C7A" w:rsidP="00D46C7A" w:rsidRDefault="00D46C7A" w14:paraId="02740D63" w14:textId="77777777">
      <w:pPr>
        <w:jc w:val="both"/>
        <w:rPr>
          <w:rFonts w:asciiTheme="majorBidi" w:hAnsiTheme="majorBidi" w:cstheme="majorBidi"/>
        </w:rPr>
      </w:pP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r w:rsidRPr="002250BD">
        <w:rPr>
          <w:rFonts w:asciiTheme="majorBidi" w:hAnsiTheme="majorBidi" w:cstheme="majorBidi"/>
        </w:rPr>
        <w:tab/>
      </w:r>
    </w:p>
    <w:p w:rsidRPr="002250BD" w:rsidR="00D46C7A" w:rsidP="00D46C7A" w:rsidRDefault="00D46C7A" w14:paraId="393242D1" w14:textId="77777777">
      <w:pPr>
        <w:jc w:val="both"/>
        <w:rPr>
          <w:rFonts w:asciiTheme="majorBidi" w:hAnsiTheme="majorBidi" w:cstheme="majorBidi"/>
          <w:b/>
          <w:bCs/>
          <w:caps/>
        </w:rPr>
      </w:pPr>
      <w:r w:rsidRPr="002250BD">
        <w:rPr>
          <w:rFonts w:asciiTheme="majorBidi" w:hAnsiTheme="majorBidi" w:cstheme="majorBidi"/>
        </w:rPr>
        <w:t xml:space="preserve"> </w:t>
      </w:r>
    </w:p>
    <w:bookmarkEnd w:id="0"/>
    <w:p w:rsidRPr="002250BD" w:rsidR="00D46C7A" w:rsidP="00D46C7A" w:rsidRDefault="00D46C7A" w14:paraId="583A1A14" w14:textId="77777777">
      <w:pPr>
        <w:jc w:val="both"/>
        <w:rPr>
          <w:rFonts w:asciiTheme="majorBidi" w:hAnsiTheme="majorBidi" w:cstheme="majorBidi"/>
          <w:b/>
          <w:bCs/>
          <w:caps/>
        </w:rPr>
      </w:pPr>
    </w:p>
    <w:p w:rsidRPr="002250BD" w:rsidR="006506EF" w:rsidP="00D46C7A" w:rsidRDefault="006506EF" w14:paraId="49BAF553" w14:textId="77777777">
      <w:pPr>
        <w:rPr>
          <w:rFonts w:asciiTheme="majorBidi" w:hAnsiTheme="majorBidi" w:cstheme="majorBidi"/>
        </w:rPr>
      </w:pPr>
    </w:p>
    <w:sectPr w:rsidRPr="002250BD" w:rsidR="006506EF" w:rsidSect="007A1EA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0D0E" w:rsidRDefault="001F0D0E" w14:paraId="5C1837B3" w14:textId="77777777">
      <w:r>
        <w:separator/>
      </w:r>
    </w:p>
  </w:endnote>
  <w:endnote w:type="continuationSeparator" w:id="0">
    <w:p w:rsidR="001F0D0E" w:rsidRDefault="001F0D0E" w14:paraId="1672AD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80341" w:rsidR="00252895" w:rsidP="00680341" w:rsidRDefault="00680341" w14:paraId="5CF07918" w14:textId="19E0612F">
    <w:pPr>
      <w:pStyle w:val="Footer"/>
    </w:pPr>
    <w:r w:rsidRPr="00680341">
      <w:rPr>
        <w:rStyle w:val="DocID"/>
      </w:rPr>
      <w:t>HB: 4914-5422-6041.5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95" w:rsidP="00252895" w:rsidRDefault="007A1EAF" w14:paraId="2DA102CA" w14:textId="77777777">
    <w:pPr>
      <w:pStyle w:val="Footer"/>
      <w:rPr>
        <w:rStyle w:val="PageNumber"/>
      </w:rPr>
    </w:pPr>
    <w:r>
      <w:tab/>
    </w:r>
    <w:r w:rsidR="001F0D0E">
      <w:rPr>
        <w:rStyle w:val="PageNumber"/>
      </w:rPr>
      <w:fldChar w:fldCharType="begin"/>
    </w:r>
    <w:r w:rsidR="001F0D0E">
      <w:rPr>
        <w:rStyle w:val="PageNumber"/>
      </w:rPr>
      <w:instrText xml:space="preserve"> PAGE </w:instrText>
    </w:r>
    <w:r w:rsidR="001F0D0E">
      <w:rPr>
        <w:rStyle w:val="PageNumber"/>
      </w:rPr>
      <w:fldChar w:fldCharType="separate"/>
    </w:r>
    <w:r w:rsidR="00FA6259">
      <w:rPr>
        <w:rStyle w:val="PageNumber"/>
        <w:noProof/>
      </w:rPr>
      <w:t>2</w:t>
    </w:r>
    <w:r w:rsidR="001F0D0E">
      <w:rPr>
        <w:rStyle w:val="PageNumber"/>
      </w:rPr>
      <w:fldChar w:fldCharType="end"/>
    </w:r>
  </w:p>
  <w:p w:rsidR="00680341" w:rsidP="00680341" w:rsidRDefault="00680341" w14:paraId="5F9B55B6" w14:textId="063944A8">
    <w:pPr>
      <w:pStyle w:val="Footer"/>
      <w:rPr>
        <w:rStyle w:val="PageNumber"/>
      </w:rPr>
    </w:pPr>
    <w:r w:rsidRPr="00680341">
      <w:rPr>
        <w:rStyle w:val="DocID"/>
      </w:rPr>
      <w:t>HB: 4914-5422-6041.5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95" w:rsidP="00252895" w:rsidRDefault="00252895" w14:paraId="0FD584C9" w14:textId="5004E3FE">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FA6259">
      <w:rPr>
        <w:rStyle w:val="PageNumber"/>
        <w:noProof/>
      </w:rPr>
      <w:t>1</w:t>
    </w:r>
    <w:r>
      <w:rPr>
        <w:rStyle w:val="PageNumber"/>
      </w:rPr>
      <w:fldChar w:fldCharType="end"/>
    </w:r>
  </w:p>
  <w:p w:rsidR="00680341" w:rsidP="00680341" w:rsidRDefault="00680341" w14:paraId="4B554F84" w14:textId="18FC74C2">
    <w:pPr>
      <w:pStyle w:val="Footer"/>
      <w:rPr>
        <w:rStyle w:val="PageNumber"/>
      </w:rPr>
    </w:pPr>
    <w:r w:rsidRPr="00680341">
      <w:rPr>
        <w:rStyle w:val="DocID"/>
      </w:rPr>
      <w:t>HB: 4914-5422-6041.5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0D0E" w:rsidRDefault="001F0D0E" w14:paraId="246244A0" w14:textId="77777777">
      <w:r>
        <w:separator/>
      </w:r>
    </w:p>
  </w:footnote>
  <w:footnote w:type="continuationSeparator" w:id="0">
    <w:p w:rsidR="001F0D0E" w:rsidRDefault="001F0D0E" w14:paraId="447FCB9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341" w:rsidRDefault="00680341" w14:paraId="45C431F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341" w:rsidRDefault="00680341" w14:paraId="3A49FC4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341" w:rsidRDefault="00680341" w14:paraId="5F6E15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52811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E297059"/>
    <w:multiLevelType w:val="hybridMultilevel"/>
    <w:tmpl w:val="C72EDF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2400C4"/>
    <w:multiLevelType w:val="multilevel"/>
    <w:tmpl w:val="75D4D8D4"/>
    <w:name w:val="zzmpTabbed||Tabbed|2|3|0|1|2|9||1|2|1||1|2|1||1|2|1||1|4|0||1|4|0||1|4|0||1|4|0||1|4|0||"/>
    <w:lvl w:ilvl="0">
      <w:start w:val="1"/>
      <w:numFmt w:val="decimal"/>
      <w:pStyle w:val="TabbedL1"/>
      <w:lvlText w:val="%1."/>
      <w:lvlJc w:val="left"/>
      <w:pPr>
        <w:tabs>
          <w:tab w:val="num" w:pos="1440"/>
        </w:tabs>
        <w:ind w:left="0" w:firstLine="720"/>
      </w:pPr>
      <w:rPr>
        <w:rFonts w:ascii="Times New Roman" w:hAnsi="Times New Roman" w:cs="Times New Roman"/>
        <w:b w:val="0"/>
        <w:i w:val="0"/>
        <w:caps w:val="0"/>
        <w:color w:val="auto"/>
        <w:u w:val="none"/>
      </w:rPr>
    </w:lvl>
    <w:lvl w:ilvl="1">
      <w:start w:val="1"/>
      <w:numFmt w:val="lowerLetter"/>
      <w:pStyle w:val="TabbedL2"/>
      <w:lvlText w:val="(%2)"/>
      <w:lvlJc w:val="left"/>
      <w:pPr>
        <w:tabs>
          <w:tab w:val="num" w:pos="2160"/>
        </w:tabs>
        <w:ind w:left="0" w:firstLine="1440"/>
      </w:pPr>
      <w:rPr>
        <w:rFonts w:ascii="Times New Roman" w:hAnsi="Times New Roman" w:cs="Times New Roman"/>
        <w:b w:val="0"/>
        <w:i w:val="0"/>
        <w:caps w:val="0"/>
        <w:color w:val="auto"/>
        <w:u w:val="none"/>
      </w:rPr>
    </w:lvl>
    <w:lvl w:ilvl="2">
      <w:start w:val="1"/>
      <w:numFmt w:val="lowerRoman"/>
      <w:pStyle w:val="TabbedL3"/>
      <w:lvlText w:val="(%3)"/>
      <w:lvlJc w:val="left"/>
      <w:pPr>
        <w:tabs>
          <w:tab w:val="num" w:pos="2880"/>
        </w:tabs>
        <w:ind w:left="0" w:firstLine="2160"/>
      </w:pPr>
      <w:rPr>
        <w:rFonts w:ascii="Times New Roman" w:hAnsi="Times New Roman" w:cs="Times New Roman"/>
        <w:b w:val="0"/>
        <w:i w:val="0"/>
        <w:caps w:val="0"/>
        <w:color w:val="auto"/>
        <w:u w:val="none"/>
      </w:rPr>
    </w:lvl>
    <w:lvl w:ilvl="3">
      <w:start w:val="1"/>
      <w:numFmt w:val="decimal"/>
      <w:pStyle w:val="TabbedL4"/>
      <w:lvlText w:val="(%4)"/>
      <w:lvlJc w:val="left"/>
      <w:pPr>
        <w:tabs>
          <w:tab w:val="num" w:pos="3600"/>
        </w:tabs>
        <w:ind w:left="0" w:firstLine="2880"/>
      </w:pPr>
      <w:rPr>
        <w:rFonts w:ascii="Times New Roman" w:hAnsi="Times New Roman" w:cs="Times New Roman"/>
        <w:b w:val="0"/>
        <w:i w:val="0"/>
        <w:caps w:val="0"/>
        <w:color w:val="auto"/>
        <w:u w:val="none"/>
      </w:rPr>
    </w:lvl>
    <w:lvl w:ilvl="4">
      <w:start w:val="1"/>
      <w:numFmt w:val="lowerLetter"/>
      <w:pStyle w:val="TabbedL5"/>
      <w:lvlText w:val="%5."/>
      <w:lvlJc w:val="left"/>
      <w:pPr>
        <w:tabs>
          <w:tab w:val="num" w:pos="4320"/>
        </w:tabs>
        <w:ind w:left="0" w:firstLine="3600"/>
      </w:pPr>
      <w:rPr>
        <w:rFonts w:ascii="Times New Roman" w:hAnsi="Times New Roman" w:cs="Times New Roman"/>
        <w:b w:val="0"/>
        <w:i w:val="0"/>
        <w:caps w:val="0"/>
        <w:color w:val="auto"/>
        <w:u w:val="none"/>
      </w:rPr>
    </w:lvl>
    <w:lvl w:ilvl="5">
      <w:start w:val="1"/>
      <w:numFmt w:val="lowerRoman"/>
      <w:pStyle w:val="TabbedL6"/>
      <w:lvlText w:val="%6."/>
      <w:lvlJc w:val="left"/>
      <w:pPr>
        <w:tabs>
          <w:tab w:val="num" w:pos="5040"/>
        </w:tabs>
        <w:ind w:left="0" w:firstLine="4320"/>
      </w:pPr>
      <w:rPr>
        <w:rFonts w:ascii="Times New Roman" w:hAnsi="Times New Roman" w:cs="Times New Roman"/>
        <w:b w:val="0"/>
        <w:i w:val="0"/>
        <w:caps w:val="0"/>
        <w:color w:val="auto"/>
        <w:u w:val="none"/>
      </w:rPr>
    </w:lvl>
    <w:lvl w:ilvl="6">
      <w:start w:val="1"/>
      <w:numFmt w:val="decimal"/>
      <w:pStyle w:val="TabbedL7"/>
      <w:lvlText w:val="%7)"/>
      <w:lvlJc w:val="left"/>
      <w:pPr>
        <w:tabs>
          <w:tab w:val="num" w:pos="5760"/>
        </w:tabs>
        <w:ind w:left="0" w:firstLine="5040"/>
      </w:pPr>
      <w:rPr>
        <w:rFonts w:ascii="Times New Roman" w:hAnsi="Times New Roman" w:cs="Times New Roman"/>
        <w:b w:val="0"/>
        <w:i w:val="0"/>
        <w:caps w:val="0"/>
        <w:color w:val="auto"/>
        <w:u w:val="none"/>
      </w:rPr>
    </w:lvl>
    <w:lvl w:ilvl="7">
      <w:start w:val="1"/>
      <w:numFmt w:val="lowerLetter"/>
      <w:pStyle w:val="TabbedL8"/>
      <w:lvlText w:val="%8)"/>
      <w:lvlJc w:val="left"/>
      <w:pPr>
        <w:tabs>
          <w:tab w:val="num" w:pos="6480"/>
        </w:tabs>
        <w:ind w:left="0" w:firstLine="5760"/>
      </w:pPr>
      <w:rPr>
        <w:rFonts w:ascii="Times New Roman" w:hAnsi="Times New Roman" w:cs="Times New Roman"/>
        <w:b w:val="0"/>
        <w:i w:val="0"/>
        <w:caps w:val="0"/>
        <w:color w:val="auto"/>
        <w:u w:val="none"/>
      </w:rPr>
    </w:lvl>
    <w:lvl w:ilvl="8">
      <w:start w:val="1"/>
      <w:numFmt w:val="lowerRoman"/>
      <w:pStyle w:val="TabbedL9"/>
      <w:lvlText w:val="%9)"/>
      <w:lvlJc w:val="left"/>
      <w:pPr>
        <w:tabs>
          <w:tab w:val="num" w:pos="7200"/>
        </w:tabs>
        <w:ind w:left="0" w:firstLine="6480"/>
      </w:pPr>
      <w:rPr>
        <w:rFonts w:ascii="Times New Roman" w:hAnsi="Times New Roman" w:cs="Times New Roman"/>
        <w:b w:val="0"/>
        <w:i w:val="0"/>
        <w:caps w:val="0"/>
        <w:color w:val="auto"/>
        <w:u w:val="none"/>
      </w:rPr>
    </w:lvl>
  </w:abstractNum>
  <w:abstractNum w:abstractNumId="3" w15:restartNumberingAfterBreak="0">
    <w:nsid w:val="5D415C09"/>
    <w:multiLevelType w:val="hybridMultilevel"/>
    <w:tmpl w:val="03ECDFD4"/>
    <w:lvl w:ilvl="0" w:tplc="2F44A35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D7E5E"/>
    <w:multiLevelType w:val="multilevel"/>
    <w:tmpl w:val="E9E45BB2"/>
    <w:name w:val="HeadingStyles||Heading|3|3|0|1|2|41||1|2|32||1|2|32||1|2|32||1|0|32||1|0|32||1|0|32||1|0|32||1|0|45||"/>
    <w:lvl w:ilvl="0">
      <w:start w:val="1"/>
      <w:numFmt w:val="decimal"/>
      <w:lvlRestart w:val="0"/>
      <w:pStyle w:val="Legal3L1"/>
      <w:lvlText w:val="%1."/>
      <w:lvlJc w:val="left"/>
      <w:pPr>
        <w:tabs>
          <w:tab w:val="num" w:pos="1440"/>
        </w:tabs>
        <w:ind w:left="0" w:firstLine="720"/>
      </w:pPr>
      <w:rPr>
        <w:rFonts w:ascii="Times New Roman" w:hAnsi="Times New Roman"/>
        <w:b w:val="0"/>
        <w:i w:val="0"/>
        <w:caps/>
        <w:smallCaps w:val="0"/>
        <w:color w:val="auto"/>
        <w:sz w:val="22"/>
        <w:u w:val="none"/>
      </w:rPr>
    </w:lvl>
    <w:lvl w:ilvl="1">
      <w:start w:val="1"/>
      <w:numFmt w:val="decimal"/>
      <w:pStyle w:val="Legal3L2"/>
      <w:isLgl/>
      <w:lvlText w:val="%1.%2"/>
      <w:lvlJc w:val="left"/>
      <w:pPr>
        <w:tabs>
          <w:tab w:val="num" w:pos="2160"/>
        </w:tabs>
        <w:ind w:left="0" w:firstLine="1440"/>
      </w:pPr>
      <w:rPr>
        <w:rFonts w:ascii="Times New Roman" w:hAnsi="Times New Roman"/>
        <w:b w:val="0"/>
        <w:i w:val="0"/>
        <w:caps w:val="0"/>
        <w:color w:val="auto"/>
        <w:sz w:val="22"/>
        <w:szCs w:val="22"/>
        <w:u w:val="none"/>
      </w:rPr>
    </w:lvl>
    <w:lvl w:ilvl="2">
      <w:start w:val="1"/>
      <w:numFmt w:val="decimal"/>
      <w:pStyle w:val="Legal3L3"/>
      <w:isLgl/>
      <w:lvlText w:val="%1.%2.%3"/>
      <w:lvlJc w:val="left"/>
      <w:pPr>
        <w:tabs>
          <w:tab w:val="num" w:pos="3240"/>
        </w:tabs>
        <w:ind w:left="0" w:firstLine="2160"/>
      </w:pPr>
      <w:rPr>
        <w:rFonts w:ascii="Times New Roman" w:hAnsi="Times New Roman"/>
        <w:b w:val="0"/>
        <w:i w:val="0"/>
        <w:caps w:val="0"/>
        <w:color w:val="auto"/>
        <w:sz w:val="24"/>
        <w:u w:val="none"/>
      </w:rPr>
    </w:lvl>
    <w:lvl w:ilvl="3">
      <w:start w:val="1"/>
      <w:numFmt w:val="lowerLetter"/>
      <w:pStyle w:val="Legal3L4"/>
      <w:lvlText w:val="(%4)"/>
      <w:lvlJc w:val="left"/>
      <w:pPr>
        <w:tabs>
          <w:tab w:val="num" w:pos="3600"/>
        </w:tabs>
        <w:ind w:left="0" w:firstLine="2880"/>
      </w:pPr>
      <w:rPr>
        <w:rFonts w:ascii="Times New Roman" w:hAnsi="Times New Roman"/>
        <w:b w:val="0"/>
        <w:i w:val="0"/>
        <w:caps w:val="0"/>
        <w:color w:val="auto"/>
        <w:sz w:val="24"/>
        <w:u w:val="none"/>
      </w:rPr>
    </w:lvl>
    <w:lvl w:ilvl="4">
      <w:start w:val="1"/>
      <w:numFmt w:val="lowerRoman"/>
      <w:pStyle w:val="Legal3L5"/>
      <w:lvlText w:val="(%5)"/>
      <w:lvlJc w:val="left"/>
      <w:pPr>
        <w:tabs>
          <w:tab w:val="num" w:pos="3600"/>
        </w:tabs>
        <w:ind w:left="0" w:firstLine="2880"/>
      </w:pPr>
      <w:rPr>
        <w:rFonts w:ascii="Times New Roman" w:hAnsi="Times New Roman"/>
        <w:b w:val="0"/>
        <w:i w:val="0"/>
        <w:caps w:val="0"/>
        <w:color w:val="auto"/>
        <w:sz w:val="24"/>
        <w:u w:val="none"/>
      </w:rPr>
    </w:lvl>
    <w:lvl w:ilvl="5">
      <w:start w:val="1"/>
      <w:numFmt w:val="decimal"/>
      <w:pStyle w:val="Legal3L6"/>
      <w:lvlText w:val="(%6)"/>
      <w:lvlJc w:val="left"/>
      <w:pPr>
        <w:tabs>
          <w:tab w:val="num" w:pos="4320"/>
        </w:tabs>
        <w:ind w:left="0" w:firstLine="3600"/>
      </w:pPr>
      <w:rPr>
        <w:rFonts w:ascii="Times New Roman" w:hAnsi="Times New Roman"/>
        <w:b w:val="0"/>
        <w:i w:val="0"/>
        <w:caps w:val="0"/>
        <w:color w:val="auto"/>
        <w:sz w:val="24"/>
        <w:u w:val="none"/>
      </w:rPr>
    </w:lvl>
    <w:lvl w:ilvl="6">
      <w:start w:val="1"/>
      <w:numFmt w:val="lowerLetter"/>
      <w:pStyle w:val="Legal3L7"/>
      <w:lvlText w:val="%7."/>
      <w:lvlJc w:val="left"/>
      <w:pPr>
        <w:tabs>
          <w:tab w:val="num" w:pos="5040"/>
        </w:tabs>
        <w:ind w:left="0" w:firstLine="4320"/>
      </w:pPr>
      <w:rPr>
        <w:rFonts w:ascii="Times New Roman" w:hAnsi="Times New Roman"/>
        <w:b w:val="0"/>
        <w:i w:val="0"/>
        <w:caps w:val="0"/>
        <w:color w:val="auto"/>
        <w:sz w:val="24"/>
        <w:u w:val="none"/>
      </w:rPr>
    </w:lvl>
    <w:lvl w:ilvl="7">
      <w:start w:val="1"/>
      <w:numFmt w:val="lowerRoman"/>
      <w:pStyle w:val="Legal3L8"/>
      <w:lvlText w:val="%8."/>
      <w:lvlJc w:val="left"/>
      <w:pPr>
        <w:tabs>
          <w:tab w:val="num" w:pos="5760"/>
        </w:tabs>
        <w:ind w:left="0" w:firstLine="5040"/>
      </w:pPr>
      <w:rPr>
        <w:rFonts w:ascii="Times New Roman" w:hAnsi="Times New Roman"/>
        <w:b w:val="0"/>
        <w:i w:val="0"/>
        <w:caps w:val="0"/>
        <w:color w:val="auto"/>
        <w:sz w:val="24"/>
        <w:u w:val="none"/>
      </w:rPr>
    </w:lvl>
    <w:lvl w:ilvl="8">
      <w:start w:val="1"/>
      <w:numFmt w:val="decimal"/>
      <w:pStyle w:val="Legal3L9"/>
      <w:lvlText w:val="%9."/>
      <w:lvlJc w:val="left"/>
      <w:pPr>
        <w:tabs>
          <w:tab w:val="num" w:pos="6480"/>
        </w:tabs>
        <w:ind w:left="0" w:firstLine="5760"/>
      </w:pPr>
      <w:rPr>
        <w:rFonts w:ascii="Times New Roman" w:hAnsi="Times New Roman"/>
        <w:b w:val="0"/>
        <w:i w:val="0"/>
        <w:caps w:val="0"/>
        <w:color w:val="auto"/>
        <w:sz w:val="24"/>
        <w:u w:val="none"/>
      </w:rPr>
    </w:lvl>
  </w:abstractNum>
  <w:num w:numId="1" w16cid:durableId="1102066275">
    <w:abstractNumId w:val="4"/>
  </w:num>
  <w:num w:numId="2" w16cid:durableId="1200897618">
    <w:abstractNumId w:val="2"/>
  </w:num>
  <w:num w:numId="3" w16cid:durableId="2055232317">
    <w:abstractNumId w:val="4"/>
  </w:num>
  <w:num w:numId="4" w16cid:durableId="38283416">
    <w:abstractNumId w:val="4"/>
  </w:num>
  <w:num w:numId="5" w16cid:durableId="770512293">
    <w:abstractNumId w:val="0"/>
  </w:num>
  <w:num w:numId="6" w16cid:durableId="874540580">
    <w:abstractNumId w:val="4"/>
  </w:num>
  <w:num w:numId="7" w16cid:durableId="837693922">
    <w:abstractNumId w:val="4"/>
  </w:num>
  <w:num w:numId="8" w16cid:durableId="1637834842">
    <w:abstractNumId w:val="3"/>
  </w:num>
  <w:num w:numId="9" w16cid:durableId="1665209172">
    <w:abstractNumId w:val="1"/>
  </w:num>
  <w:num w:numId="10" w16cid:durableId="323705718">
    <w:abstractNumId w:val="4"/>
  </w:num>
  <w:num w:numId="11" w16cid:durableId="341401623">
    <w:abstractNumId w:val="4"/>
  </w:num>
  <w:num w:numId="12" w16cid:durableId="152786399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7932"/>
    <w:rsid w:val="0003550C"/>
    <w:rsid w:val="00085848"/>
    <w:rsid w:val="000A148E"/>
    <w:rsid w:val="000A2B91"/>
    <w:rsid w:val="000A60EC"/>
    <w:rsid w:val="000D2E8D"/>
    <w:rsid w:val="000F7B3B"/>
    <w:rsid w:val="00147754"/>
    <w:rsid w:val="00151EC8"/>
    <w:rsid w:val="001A28A4"/>
    <w:rsid w:val="001B5186"/>
    <w:rsid w:val="001E6D6B"/>
    <w:rsid w:val="001F0D0E"/>
    <w:rsid w:val="0021311C"/>
    <w:rsid w:val="002250BD"/>
    <w:rsid w:val="00252895"/>
    <w:rsid w:val="002921D9"/>
    <w:rsid w:val="002E4955"/>
    <w:rsid w:val="003164AD"/>
    <w:rsid w:val="0032124D"/>
    <w:rsid w:val="003567F6"/>
    <w:rsid w:val="00366819"/>
    <w:rsid w:val="003A0BC1"/>
    <w:rsid w:val="003B3CA9"/>
    <w:rsid w:val="003B65FD"/>
    <w:rsid w:val="003E2381"/>
    <w:rsid w:val="003E5B74"/>
    <w:rsid w:val="003F613E"/>
    <w:rsid w:val="00412AEE"/>
    <w:rsid w:val="004501D0"/>
    <w:rsid w:val="00475BE0"/>
    <w:rsid w:val="00476EA3"/>
    <w:rsid w:val="00487932"/>
    <w:rsid w:val="00487D27"/>
    <w:rsid w:val="00490766"/>
    <w:rsid w:val="004A48D1"/>
    <w:rsid w:val="004F7687"/>
    <w:rsid w:val="00524D95"/>
    <w:rsid w:val="005415FA"/>
    <w:rsid w:val="00545718"/>
    <w:rsid w:val="00550F0C"/>
    <w:rsid w:val="0056560C"/>
    <w:rsid w:val="00587B73"/>
    <w:rsid w:val="005D65F7"/>
    <w:rsid w:val="005F3FD8"/>
    <w:rsid w:val="006150A2"/>
    <w:rsid w:val="00643E99"/>
    <w:rsid w:val="00644612"/>
    <w:rsid w:val="00646698"/>
    <w:rsid w:val="006506EF"/>
    <w:rsid w:val="00680341"/>
    <w:rsid w:val="006A3345"/>
    <w:rsid w:val="006D11BD"/>
    <w:rsid w:val="006D7679"/>
    <w:rsid w:val="006F041E"/>
    <w:rsid w:val="00702A6C"/>
    <w:rsid w:val="00710048"/>
    <w:rsid w:val="0073675C"/>
    <w:rsid w:val="007A1EAF"/>
    <w:rsid w:val="007A4AD8"/>
    <w:rsid w:val="007C247C"/>
    <w:rsid w:val="008229C0"/>
    <w:rsid w:val="008304DE"/>
    <w:rsid w:val="00834D03"/>
    <w:rsid w:val="00856E29"/>
    <w:rsid w:val="00860DAF"/>
    <w:rsid w:val="00877856"/>
    <w:rsid w:val="00882471"/>
    <w:rsid w:val="00884B0A"/>
    <w:rsid w:val="008A266A"/>
    <w:rsid w:val="008B3D73"/>
    <w:rsid w:val="008E77FB"/>
    <w:rsid w:val="00904089"/>
    <w:rsid w:val="00927EC8"/>
    <w:rsid w:val="009358B9"/>
    <w:rsid w:val="00935FB2"/>
    <w:rsid w:val="00952A99"/>
    <w:rsid w:val="00953241"/>
    <w:rsid w:val="00963F4E"/>
    <w:rsid w:val="00981D71"/>
    <w:rsid w:val="00993115"/>
    <w:rsid w:val="00995F98"/>
    <w:rsid w:val="009A34A5"/>
    <w:rsid w:val="009A3E7C"/>
    <w:rsid w:val="00A61AF0"/>
    <w:rsid w:val="00A74A68"/>
    <w:rsid w:val="00AA7865"/>
    <w:rsid w:val="00AC1E15"/>
    <w:rsid w:val="00AE2726"/>
    <w:rsid w:val="00B1606E"/>
    <w:rsid w:val="00B50423"/>
    <w:rsid w:val="00B7088C"/>
    <w:rsid w:val="00BC0083"/>
    <w:rsid w:val="00BD3944"/>
    <w:rsid w:val="00BD399F"/>
    <w:rsid w:val="00BD5750"/>
    <w:rsid w:val="00BE7871"/>
    <w:rsid w:val="00C022B2"/>
    <w:rsid w:val="00C22E4E"/>
    <w:rsid w:val="00C25C3E"/>
    <w:rsid w:val="00C43D18"/>
    <w:rsid w:val="00C83856"/>
    <w:rsid w:val="00CE464F"/>
    <w:rsid w:val="00D161F6"/>
    <w:rsid w:val="00D46C7A"/>
    <w:rsid w:val="00D5284F"/>
    <w:rsid w:val="00D64543"/>
    <w:rsid w:val="00DB71A8"/>
    <w:rsid w:val="00E13D7D"/>
    <w:rsid w:val="00E64D97"/>
    <w:rsid w:val="00ED690A"/>
    <w:rsid w:val="00EE0D6F"/>
    <w:rsid w:val="00EE797F"/>
    <w:rsid w:val="00F400D5"/>
    <w:rsid w:val="00F467D3"/>
    <w:rsid w:val="00F47E47"/>
    <w:rsid w:val="00F60E64"/>
    <w:rsid w:val="00F66980"/>
    <w:rsid w:val="00FA6259"/>
    <w:rsid w:val="00FB7D16"/>
    <w:rsid w:val="00FE2B39"/>
    <w:rsid w:val="00FF38F6"/>
    <w:rsid w:val="00FF3E19"/>
    <w:rsid w:val="00FF64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AEB4DBD"/>
  <w15:docId w15:val="{FBBD910C-AA99-48E1-B2AD-7DB0057F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link w:val="Heading2Char"/>
    <w:qFormat/>
    <w:pPr>
      <w:tabs>
        <w:tab w:val="num" w:pos="720"/>
      </w:tabs>
      <w:spacing w:after="240"/>
      <w:outlineLvl w:val="1"/>
    </w:pPr>
    <w:rPr>
      <w:szCs w:val="20"/>
    </w:rPr>
  </w:style>
  <w:style w:type="paragraph" w:styleId="Heading3">
    <w:name w:val="heading 3"/>
    <w:basedOn w:val="Normal"/>
    <w:next w:val="Normal"/>
    <w:link w:val="Heading3Char"/>
    <w:qFormat/>
    <w:pPr>
      <w:tabs>
        <w:tab w:val="num" w:pos="6300"/>
      </w:tabs>
      <w:spacing w:after="240"/>
      <w:ind w:left="4860" w:firstLine="720"/>
      <w:outlineLvl w:val="2"/>
    </w:pPr>
    <w:rPr>
      <w:szCs w:val="20"/>
    </w:rPr>
  </w:style>
  <w:style w:type="paragraph" w:styleId="Heading4">
    <w:name w:val="heading 4"/>
    <w:basedOn w:val="Normal"/>
    <w:next w:val="Normal"/>
    <w:link w:val="Heading4Char"/>
    <w:qFormat/>
    <w:pPr>
      <w:tabs>
        <w:tab w:val="num" w:pos="2160"/>
      </w:tabs>
      <w:spacing w:after="240"/>
      <w:ind w:firstLine="1440"/>
      <w:outlineLvl w:val="3"/>
    </w:pPr>
    <w:rPr>
      <w:szCs w:val="20"/>
    </w:rPr>
  </w:style>
  <w:style w:type="paragraph" w:styleId="Heading5">
    <w:name w:val="heading 5"/>
    <w:basedOn w:val="Normal"/>
    <w:next w:val="Normal"/>
    <w:link w:val="Heading5Char"/>
    <w:qFormat/>
    <w:pPr>
      <w:tabs>
        <w:tab w:val="num" w:pos="2160"/>
      </w:tabs>
      <w:spacing w:after="220"/>
      <w:ind w:left="2880" w:hanging="720"/>
      <w:jc w:val="both"/>
      <w:outlineLvl w:val="4"/>
    </w:pPr>
    <w:rPr>
      <w:szCs w:val="20"/>
    </w:rPr>
  </w:style>
  <w:style w:type="paragraph" w:styleId="Heading6">
    <w:name w:val="heading 6"/>
    <w:basedOn w:val="Normal"/>
    <w:next w:val="Normal"/>
    <w:link w:val="Heading6Char"/>
    <w:qFormat/>
    <w:pPr>
      <w:tabs>
        <w:tab w:val="num" w:pos="360"/>
      </w:tabs>
      <w:spacing w:after="220"/>
      <w:ind w:left="3600" w:hanging="720"/>
      <w:jc w:val="both"/>
      <w:outlineLvl w:val="5"/>
    </w:pPr>
    <w:rPr>
      <w:szCs w:val="20"/>
    </w:rPr>
  </w:style>
  <w:style w:type="paragraph" w:styleId="Heading7">
    <w:name w:val="heading 7"/>
    <w:basedOn w:val="Normal"/>
    <w:next w:val="Normal"/>
    <w:link w:val="Heading7Char"/>
    <w:qFormat/>
    <w:pPr>
      <w:keepNext/>
      <w:keepLines/>
      <w:widowControl w:val="0"/>
      <w:tabs>
        <w:tab w:val="num" w:pos="0"/>
      </w:tabs>
      <w:spacing w:before="240" w:line="-240" w:lineRule="auto"/>
      <w:ind w:right="720"/>
      <w:jc w:val="both"/>
      <w:outlineLvl w:val="6"/>
    </w:pPr>
    <w:rPr>
      <w:szCs w:val="20"/>
    </w:rPr>
  </w:style>
  <w:style w:type="paragraph" w:styleId="Heading8">
    <w:name w:val="heading 8"/>
    <w:basedOn w:val="Normal"/>
    <w:next w:val="Normal"/>
    <w:link w:val="Heading8Char"/>
    <w:qFormat/>
    <w:pPr>
      <w:keepNext/>
      <w:keepLines/>
      <w:widowControl w:val="0"/>
      <w:tabs>
        <w:tab w:val="num" w:pos="0"/>
      </w:tabs>
      <w:spacing w:before="240" w:line="-240" w:lineRule="auto"/>
      <w:ind w:left="5760" w:right="720" w:hanging="720"/>
      <w:jc w:val="both"/>
      <w:outlineLvl w:val="7"/>
    </w:pPr>
    <w:rPr>
      <w:szCs w:val="20"/>
    </w:rPr>
  </w:style>
  <w:style w:type="paragraph" w:styleId="Heading9">
    <w:name w:val="heading 9"/>
    <w:basedOn w:val="Normal"/>
    <w:next w:val="Normal"/>
    <w:link w:val="Heading9Char"/>
    <w:qFormat/>
    <w:pPr>
      <w:jc w:val="center"/>
      <w:outlineLvl w:val="8"/>
    </w:pPr>
    <w:rPr>
      <w:b/>
      <w:caps/>
      <w:szCs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spacing w:before="240" w:after="60"/>
      <w:jc w:val="center"/>
      <w:outlineLvl w:val="0"/>
    </w:pPr>
    <w:rPr>
      <w:rFonts w:cs="Arial"/>
      <w:b/>
      <w:bCs/>
      <w:kern w:val="28"/>
      <w:sz w:val="32"/>
      <w:szCs w:val="32"/>
    </w:rPr>
  </w:style>
  <w:style w:type="paragraph" w:styleId="BodyText">
    <w:name w:val="Body Text"/>
    <w:basedOn w:val="Normal"/>
    <w:link w:val="BodyTextChar"/>
    <w:uiPriority w:val="99"/>
    <w:pPr>
      <w:spacing w:after="24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200" w:h="2700" w:vSpace="180" w:hSpace="180" w:wrap="around" w:hAnchor="page" w:vAnchor="page" w:x="5761" w:y="2521" w:hRule="exact"/>
    </w:pPr>
    <w:rPr>
      <w:rFonts w:cs="Arial"/>
    </w:rPr>
  </w:style>
  <w:style w:type="character" w:styleId="PageNumber">
    <w:name w:val="page number"/>
    <w:basedOn w:val="DefaultParagraphFont"/>
  </w:style>
  <w:style w:type="paragraph" w:styleId="Legal3Cont1" w:customStyle="1">
    <w:name w:val="Legal3 Cont 1"/>
    <w:basedOn w:val="Normal"/>
    <w:pPr>
      <w:spacing w:after="240"/>
    </w:pPr>
    <w:rPr>
      <w:szCs w:val="20"/>
    </w:rPr>
  </w:style>
  <w:style w:type="paragraph" w:styleId="Legal3Cont2" w:customStyle="1">
    <w:name w:val="Legal3 Cont 2"/>
    <w:basedOn w:val="Legal3Cont1"/>
  </w:style>
  <w:style w:type="paragraph" w:styleId="Legal3Cont3" w:customStyle="1">
    <w:name w:val="Legal3 Cont 3"/>
    <w:basedOn w:val="Legal3Cont2"/>
  </w:style>
  <w:style w:type="paragraph" w:styleId="Legal3Cont4" w:customStyle="1">
    <w:name w:val="Legal3 Cont 4"/>
    <w:basedOn w:val="Legal3Cont3"/>
  </w:style>
  <w:style w:type="paragraph" w:styleId="Legal3Cont5" w:customStyle="1">
    <w:name w:val="Legal3 Cont 5"/>
    <w:basedOn w:val="Legal3Cont4"/>
  </w:style>
  <w:style w:type="paragraph" w:styleId="Legal3Cont6" w:customStyle="1">
    <w:name w:val="Legal3 Cont 6"/>
    <w:basedOn w:val="Legal3Cont5"/>
  </w:style>
  <w:style w:type="paragraph" w:styleId="Legal3Cont7" w:customStyle="1">
    <w:name w:val="Legal3 Cont 7"/>
    <w:basedOn w:val="Legal3Cont6"/>
  </w:style>
  <w:style w:type="paragraph" w:styleId="Legal3Cont8" w:customStyle="1">
    <w:name w:val="Legal3 Cont 8"/>
    <w:basedOn w:val="Legal3Cont7"/>
  </w:style>
  <w:style w:type="paragraph" w:styleId="Legal3Cont9" w:customStyle="1">
    <w:name w:val="Legal3 Cont 9"/>
    <w:basedOn w:val="Legal3Cont8"/>
  </w:style>
  <w:style w:type="paragraph" w:styleId="Legal3L1" w:customStyle="1">
    <w:name w:val="Legal3_L1"/>
    <w:basedOn w:val="Normal"/>
    <w:next w:val="BodyText"/>
    <w:pPr>
      <w:numPr>
        <w:numId w:val="1"/>
      </w:numPr>
      <w:spacing w:after="240"/>
      <w:outlineLvl w:val="0"/>
    </w:pPr>
    <w:rPr>
      <w:szCs w:val="20"/>
    </w:rPr>
  </w:style>
  <w:style w:type="paragraph" w:styleId="Legal3L2" w:customStyle="1">
    <w:name w:val="Legal3_L2"/>
    <w:basedOn w:val="Legal3L1"/>
    <w:next w:val="BodyText"/>
    <w:pPr>
      <w:numPr>
        <w:ilvl w:val="1"/>
      </w:numPr>
      <w:jc w:val="both"/>
      <w:outlineLvl w:val="1"/>
    </w:pPr>
  </w:style>
  <w:style w:type="paragraph" w:styleId="Legal3L3" w:customStyle="1">
    <w:name w:val="Legal3_L3"/>
    <w:basedOn w:val="Legal3L2"/>
    <w:next w:val="BodyText"/>
    <w:pPr>
      <w:numPr>
        <w:ilvl w:val="2"/>
      </w:numPr>
      <w:outlineLvl w:val="2"/>
    </w:pPr>
  </w:style>
  <w:style w:type="paragraph" w:styleId="Legal3L4" w:customStyle="1">
    <w:name w:val="Legal3_L4"/>
    <w:basedOn w:val="Legal3L3"/>
    <w:next w:val="BodyText"/>
    <w:pPr>
      <w:numPr>
        <w:ilvl w:val="3"/>
      </w:numPr>
      <w:outlineLvl w:val="3"/>
    </w:pPr>
  </w:style>
  <w:style w:type="paragraph" w:styleId="Legal3L5" w:customStyle="1">
    <w:name w:val="Legal3_L5"/>
    <w:basedOn w:val="Legal3L4"/>
    <w:next w:val="BodyText"/>
    <w:pPr>
      <w:numPr>
        <w:ilvl w:val="4"/>
      </w:numPr>
      <w:outlineLvl w:val="4"/>
    </w:pPr>
  </w:style>
  <w:style w:type="paragraph" w:styleId="Legal3L6" w:customStyle="1">
    <w:name w:val="Legal3_L6"/>
    <w:basedOn w:val="Legal3L5"/>
    <w:next w:val="BodyText"/>
    <w:pPr>
      <w:numPr>
        <w:ilvl w:val="5"/>
      </w:numPr>
      <w:outlineLvl w:val="5"/>
    </w:pPr>
  </w:style>
  <w:style w:type="paragraph" w:styleId="Legal3L7" w:customStyle="1">
    <w:name w:val="Legal3_L7"/>
    <w:basedOn w:val="Legal3L6"/>
    <w:next w:val="BodyText"/>
    <w:pPr>
      <w:numPr>
        <w:ilvl w:val="6"/>
      </w:numPr>
      <w:outlineLvl w:val="6"/>
    </w:pPr>
  </w:style>
  <w:style w:type="paragraph" w:styleId="Legal3L8" w:customStyle="1">
    <w:name w:val="Legal3_L8"/>
    <w:basedOn w:val="Legal3L7"/>
    <w:next w:val="BodyText"/>
    <w:pPr>
      <w:numPr>
        <w:ilvl w:val="7"/>
      </w:numPr>
      <w:outlineLvl w:val="7"/>
    </w:pPr>
  </w:style>
  <w:style w:type="paragraph" w:styleId="Legal3L9" w:customStyle="1">
    <w:name w:val="Legal3_L9"/>
    <w:basedOn w:val="Legal3L8"/>
    <w:next w:val="BodyText"/>
    <w:pPr>
      <w:numPr>
        <w:ilvl w:val="8"/>
      </w:numPr>
      <w:outlineLvl w:val="8"/>
    </w:pPr>
  </w:style>
  <w:style w:type="character" w:styleId="BoldUnderline" w:customStyle="1">
    <w:name w:val="Bold/Underline"/>
    <w:rPr>
      <w:b/>
      <w:bCs/>
      <w:u w:val="single"/>
    </w:rPr>
  </w:style>
  <w:style w:type="paragraph" w:styleId="BodyTextFirstIndent">
    <w:name w:val="Body Text First Indent"/>
    <w:aliases w:val="bf"/>
    <w:basedOn w:val="BodyText"/>
    <w:link w:val="BodyTextFirstIndentChar"/>
    <w:pPr>
      <w:ind w:firstLine="720"/>
    </w:pPr>
  </w:style>
  <w:style w:type="paragraph" w:styleId="BalloonText">
    <w:name w:val="Balloon Text"/>
    <w:basedOn w:val="Normal"/>
    <w:link w:val="BalloonTextChar"/>
    <w:rPr>
      <w:rFonts w:ascii="Tahoma" w:hAnsi="Tahoma" w:cs="Tahoma"/>
      <w:sz w:val="16"/>
      <w:szCs w:val="16"/>
    </w:rPr>
  </w:style>
  <w:style w:type="character" w:styleId="BalloonTextChar" w:customStyle="1">
    <w:name w:val="Balloon Text Char"/>
    <w:link w:val="BalloonText"/>
    <w:rPr>
      <w:rFonts w:ascii="Tahoma" w:hAnsi="Tahoma" w:cs="Tahoma"/>
      <w:sz w:val="16"/>
      <w:szCs w:val="16"/>
      <w:lang w:eastAsia="en-US"/>
    </w:rPr>
  </w:style>
  <w:style w:type="character" w:styleId="BookTitle">
    <w:name w:val="Book Title"/>
    <w:uiPriority w:val="33"/>
    <w:qFormat/>
    <w:rPr>
      <w:b/>
      <w:bCs/>
      <w:smallCaps/>
      <w:spacing w:val="5"/>
    </w:rPr>
  </w:style>
  <w:style w:type="character" w:styleId="Heading2Char" w:customStyle="1">
    <w:name w:val="Heading 2 Char"/>
    <w:link w:val="Heading2"/>
    <w:rPr>
      <w:sz w:val="24"/>
      <w:lang w:eastAsia="en-US"/>
    </w:rPr>
  </w:style>
  <w:style w:type="character" w:styleId="Heading3Char" w:customStyle="1">
    <w:name w:val="Heading 3 Char"/>
    <w:link w:val="Heading3"/>
    <w:rPr>
      <w:sz w:val="24"/>
      <w:lang w:eastAsia="en-US"/>
    </w:rPr>
  </w:style>
  <w:style w:type="character" w:styleId="Heading4Char" w:customStyle="1">
    <w:name w:val="Heading 4 Char"/>
    <w:link w:val="Heading4"/>
    <w:rPr>
      <w:sz w:val="24"/>
      <w:lang w:eastAsia="en-US"/>
    </w:rPr>
  </w:style>
  <w:style w:type="character" w:styleId="Heading5Char" w:customStyle="1">
    <w:name w:val="Heading 5 Char"/>
    <w:link w:val="Heading5"/>
    <w:rPr>
      <w:sz w:val="24"/>
      <w:lang w:eastAsia="en-US"/>
    </w:rPr>
  </w:style>
  <w:style w:type="character" w:styleId="Heading6Char" w:customStyle="1">
    <w:name w:val="Heading 6 Char"/>
    <w:link w:val="Heading6"/>
    <w:rPr>
      <w:sz w:val="24"/>
      <w:lang w:eastAsia="en-US"/>
    </w:rPr>
  </w:style>
  <w:style w:type="character" w:styleId="Heading7Char" w:customStyle="1">
    <w:name w:val="Heading 7 Char"/>
    <w:link w:val="Heading7"/>
    <w:rPr>
      <w:sz w:val="24"/>
      <w:lang w:eastAsia="en-US"/>
    </w:rPr>
  </w:style>
  <w:style w:type="character" w:styleId="Heading8Char" w:customStyle="1">
    <w:name w:val="Heading 8 Char"/>
    <w:link w:val="Heading8"/>
    <w:rPr>
      <w:sz w:val="24"/>
      <w:lang w:eastAsia="en-US"/>
    </w:rPr>
  </w:style>
  <w:style w:type="character" w:styleId="Heading9Char" w:customStyle="1">
    <w:name w:val="Heading 9 Char"/>
    <w:link w:val="Heading9"/>
    <w:rPr>
      <w:b/>
      <w:caps/>
      <w:sz w:val="24"/>
      <w:u w:val="single"/>
      <w:lang w:eastAsia="en-US"/>
    </w:rPr>
  </w:style>
  <w:style w:type="paragraph" w:styleId="FootnoteText">
    <w:name w:val="footnote text"/>
    <w:basedOn w:val="Normal"/>
    <w:link w:val="FootnoteTextChar"/>
    <w:pPr>
      <w:widowControl w:val="0"/>
      <w:jc w:val="both"/>
    </w:pPr>
    <w:rPr>
      <w:szCs w:val="20"/>
    </w:rPr>
  </w:style>
  <w:style w:type="character" w:styleId="FootnoteTextChar" w:customStyle="1">
    <w:name w:val="Footnote Text Char"/>
    <w:link w:val="FootnoteText"/>
    <w:rPr>
      <w:sz w:val="24"/>
      <w:lang w:eastAsia="en-US"/>
    </w:rPr>
  </w:style>
  <w:style w:type="paragraph" w:styleId="StyleHeading3Underline" w:customStyle="1">
    <w:name w:val="Style Heading 3 + Underline"/>
    <w:basedOn w:val="Heading3"/>
    <w:link w:val="StyleHeading3UnderlineChar"/>
    <w:pPr>
      <w:numPr>
        <w:ilvl w:val="2"/>
      </w:numPr>
      <w:tabs>
        <w:tab w:val="num" w:pos="1440"/>
        <w:tab w:val="num" w:pos="6300"/>
      </w:tabs>
      <w:ind w:left="4860" w:firstLine="720"/>
    </w:pPr>
    <w:rPr>
      <w:sz w:val="22"/>
      <w:u w:val="single"/>
    </w:rPr>
  </w:style>
  <w:style w:type="character" w:styleId="StyleHeading3UnderlineChar" w:customStyle="1">
    <w:name w:val="Style Heading 3 + Underline Char"/>
    <w:link w:val="StyleHeading3Underline"/>
    <w:rPr>
      <w:sz w:val="22"/>
      <w:u w:val="single"/>
      <w:lang w:eastAsia="en-US"/>
    </w:rPr>
  </w:style>
  <w:style w:type="character" w:styleId="HeaderChar" w:customStyle="1">
    <w:name w:val="Header Char"/>
    <w:link w:val="Header"/>
    <w:uiPriority w:val="99"/>
    <w:rPr>
      <w:sz w:val="24"/>
      <w:szCs w:val="24"/>
      <w:lang w:eastAsia="en-US"/>
    </w:rPr>
  </w:style>
  <w:style w:type="character" w:styleId="Hyperlink">
    <w:name w:val="Hyperlink"/>
    <w:rPr>
      <w:color w:val="0000FF"/>
      <w:u w:val="single"/>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styleId="CommentTextChar" w:customStyle="1">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styleId="CommentSubjectChar" w:customStyle="1">
    <w:name w:val="Comment Subject Char"/>
    <w:link w:val="CommentSubject"/>
    <w:rPr>
      <w:b/>
      <w:bCs/>
      <w:lang w:eastAsia="en-US"/>
    </w:rPr>
  </w:style>
  <w:style w:type="paragraph" w:styleId="TabbedL1" w:customStyle="1">
    <w:name w:val="Tabbed_L1"/>
    <w:basedOn w:val="Normal"/>
    <w:next w:val="BodyText"/>
    <w:pPr>
      <w:numPr>
        <w:numId w:val="2"/>
      </w:numPr>
      <w:spacing w:after="240"/>
      <w:jc w:val="both"/>
      <w:outlineLvl w:val="0"/>
    </w:pPr>
    <w:rPr>
      <w:szCs w:val="20"/>
    </w:rPr>
  </w:style>
  <w:style w:type="paragraph" w:styleId="TabbedL2" w:customStyle="1">
    <w:name w:val="Tabbed_L2"/>
    <w:basedOn w:val="TabbedL1"/>
    <w:next w:val="BodyText"/>
    <w:link w:val="TabbedL2Char"/>
    <w:pPr>
      <w:numPr>
        <w:ilvl w:val="1"/>
      </w:numPr>
      <w:outlineLvl w:val="1"/>
    </w:pPr>
  </w:style>
  <w:style w:type="character" w:styleId="TabbedL2Char" w:customStyle="1">
    <w:name w:val="Tabbed_L2 Char"/>
    <w:link w:val="TabbedL2"/>
    <w:rPr>
      <w:sz w:val="24"/>
      <w:lang w:eastAsia="en-US"/>
    </w:rPr>
  </w:style>
  <w:style w:type="paragraph" w:styleId="TabbedL3" w:customStyle="1">
    <w:name w:val="Tabbed_L3"/>
    <w:basedOn w:val="TabbedL2"/>
    <w:next w:val="BodyText"/>
    <w:pPr>
      <w:numPr>
        <w:ilvl w:val="2"/>
      </w:numPr>
      <w:tabs>
        <w:tab w:val="clear" w:pos="2880"/>
        <w:tab w:val="num" w:pos="360"/>
      </w:tabs>
      <w:ind w:left="360" w:hanging="360"/>
      <w:outlineLvl w:val="2"/>
    </w:pPr>
  </w:style>
  <w:style w:type="paragraph" w:styleId="TabbedL4" w:customStyle="1">
    <w:name w:val="Tabbed_L4"/>
    <w:basedOn w:val="TabbedL3"/>
    <w:next w:val="BodyText"/>
    <w:pPr>
      <w:numPr>
        <w:ilvl w:val="3"/>
      </w:numPr>
      <w:tabs>
        <w:tab w:val="clear" w:pos="3600"/>
        <w:tab w:val="num" w:pos="360"/>
      </w:tabs>
      <w:ind w:left="360" w:hanging="360"/>
      <w:outlineLvl w:val="3"/>
    </w:pPr>
  </w:style>
  <w:style w:type="paragraph" w:styleId="TabbedL5" w:customStyle="1">
    <w:name w:val="Tabbed_L5"/>
    <w:basedOn w:val="TabbedL4"/>
    <w:next w:val="BodyText"/>
    <w:pPr>
      <w:numPr>
        <w:ilvl w:val="4"/>
      </w:numPr>
      <w:tabs>
        <w:tab w:val="clear" w:pos="4320"/>
        <w:tab w:val="num" w:pos="360"/>
      </w:tabs>
      <w:ind w:left="360" w:hanging="360"/>
      <w:jc w:val="left"/>
      <w:outlineLvl w:val="4"/>
    </w:pPr>
  </w:style>
  <w:style w:type="paragraph" w:styleId="TabbedL6" w:customStyle="1">
    <w:name w:val="Tabbed_L6"/>
    <w:basedOn w:val="TabbedL5"/>
    <w:next w:val="BodyText"/>
    <w:pPr>
      <w:numPr>
        <w:ilvl w:val="5"/>
      </w:numPr>
      <w:tabs>
        <w:tab w:val="clear" w:pos="5040"/>
        <w:tab w:val="num" w:pos="360"/>
      </w:tabs>
      <w:ind w:left="360" w:hanging="360"/>
      <w:outlineLvl w:val="5"/>
    </w:pPr>
  </w:style>
  <w:style w:type="paragraph" w:styleId="TabbedL7" w:customStyle="1">
    <w:name w:val="Tabbed_L7"/>
    <w:basedOn w:val="TabbedL6"/>
    <w:next w:val="BodyText"/>
    <w:pPr>
      <w:numPr>
        <w:ilvl w:val="6"/>
      </w:numPr>
      <w:tabs>
        <w:tab w:val="clear" w:pos="5760"/>
        <w:tab w:val="num" w:pos="360"/>
      </w:tabs>
      <w:ind w:left="360" w:hanging="360"/>
      <w:outlineLvl w:val="6"/>
    </w:pPr>
  </w:style>
  <w:style w:type="paragraph" w:styleId="TabbedL8" w:customStyle="1">
    <w:name w:val="Tabbed_L8"/>
    <w:basedOn w:val="TabbedL7"/>
    <w:next w:val="BodyText"/>
    <w:pPr>
      <w:numPr>
        <w:ilvl w:val="7"/>
      </w:numPr>
      <w:tabs>
        <w:tab w:val="clear" w:pos="6480"/>
        <w:tab w:val="num" w:pos="360"/>
      </w:tabs>
      <w:ind w:left="360" w:hanging="360"/>
      <w:outlineLvl w:val="7"/>
    </w:pPr>
  </w:style>
  <w:style w:type="paragraph" w:styleId="TabbedL9" w:customStyle="1">
    <w:name w:val="Tabbed_L9"/>
    <w:basedOn w:val="TabbedL8"/>
    <w:next w:val="BodyText"/>
    <w:pPr>
      <w:numPr>
        <w:ilvl w:val="8"/>
      </w:numPr>
      <w:tabs>
        <w:tab w:val="clear" w:pos="7200"/>
        <w:tab w:val="num" w:pos="360"/>
      </w:tabs>
      <w:ind w:left="360" w:hanging="360"/>
      <w:outlineLvl w:val="8"/>
    </w:pPr>
  </w:style>
  <w:style w:type="character" w:styleId="BodyTextChar" w:customStyle="1">
    <w:name w:val="Body Text Char"/>
    <w:link w:val="BodyText"/>
    <w:uiPriority w:val="99"/>
    <w:rPr>
      <w:sz w:val="24"/>
      <w:szCs w:val="24"/>
      <w:lang w:eastAsia="en-US"/>
    </w:rPr>
  </w:style>
  <w:style w:type="character" w:styleId="BodyTextFirstIndentChar" w:customStyle="1">
    <w:name w:val="Body Text First Indent Char"/>
    <w:aliases w:val="bf Char"/>
    <w:basedOn w:val="BodyTextChar"/>
    <w:link w:val="BodyTextFirstIndent"/>
    <w:rPr>
      <w:sz w:val="24"/>
      <w:szCs w:val="24"/>
      <w:lang w:eastAsia="en-US"/>
    </w:rPr>
  </w:style>
  <w:style w:type="character" w:styleId="DocID" w:customStyle="1">
    <w:name w:val="DocID"/>
    <w:basedOn w:val="DefaultParagraphFont"/>
    <w:uiPriority w:val="2"/>
    <w:rsid w:val="00252895"/>
    <w:rPr>
      <w:rFonts w:ascii="Times New Roman" w:hAnsi="Times New Roman" w:cs="Times New Roman"/>
      <w:noProof/>
      <w:spacing w:val="-2"/>
      <w:sz w:val="16"/>
    </w:rPr>
  </w:style>
  <w:style w:type="character" w:styleId="HBLLP" w:customStyle="1">
    <w:name w:val="HBLLP"/>
    <w:basedOn w:val="DefaultParagraphFont"/>
    <w:uiPriority w:val="2"/>
    <w:rsid w:val="00252895"/>
    <w:rPr>
      <w:rFonts w:ascii="Arial" w:hAnsi="Arial" w:cs="Arial"/>
      <w:noProof/>
      <w:spacing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67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cca.mitich@huschblackwell.com"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numbering" Target="numbering.xml"/><Relationship Id="rId16" Type="http://schemas.openxmlformats.org/officeDocument/2006/relationships/theme" Target="theme/theme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5668963849142872C63627D7CAAAE" ma:contentTypeVersion="15" ma:contentTypeDescription="Create a new document." ma:contentTypeScope="" ma:versionID="ae7d12aefa8c8c15270c1047a280d15d">
  <xsd:schema xmlns:xsd="http://www.w3.org/2001/XMLSchema" xmlns:xs="http://www.w3.org/2001/XMLSchema" xmlns:p="http://schemas.microsoft.com/office/2006/metadata/properties" xmlns:ns2="5b8d766b-4956-42f4-ba0f-5b1952899273" xmlns:ns3="069f2224-f9e5-47c1-9c37-61792764c649" targetNamespace="http://schemas.microsoft.com/office/2006/metadata/properties" ma:root="true" ma:fieldsID="dd428da96bea51ef9bd8c5282c3beeaa" ns2:_="" ns3:_="">
    <xsd:import namespace="5b8d766b-4956-42f4-ba0f-5b1952899273"/>
    <xsd:import namespace="069f2224-f9e5-47c1-9c37-61792764c64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d766b-4956-42f4-ba0f-5b1952899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9851a2-9747-49de-9ac7-d0fe1ed3711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f2224-f9e5-47c1-9c37-61792764c6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2280a7-e6fc-4477-9d52-fd9d6aeef0a1}" ma:internalName="TaxCatchAll" ma:showField="CatchAllData" ma:web="069f2224-f9e5-47c1-9c37-61792764c64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8d766b-4956-42f4-ba0f-5b1952899273">
      <Terms xmlns="http://schemas.microsoft.com/office/infopath/2007/PartnerControls"/>
    </lcf76f155ced4ddcb4097134ff3c332f>
    <TaxCatchAll xmlns="069f2224-f9e5-47c1-9c37-61792764c649" xsi:nil="true"/>
  </documentManagement>
</p:properties>
</file>

<file path=customXml/itemProps1.xml><?xml version="1.0" encoding="utf-8"?>
<ds:datastoreItem xmlns:ds="http://schemas.openxmlformats.org/officeDocument/2006/customXml" ds:itemID="{79152E56-08CB-4959-8D02-33091998AD35}"/>
</file>

<file path=customXml/itemProps2.xml><?xml version="1.0" encoding="utf-8"?>
<ds:datastoreItem xmlns:ds="http://schemas.openxmlformats.org/officeDocument/2006/customXml" ds:itemID="{398595B1-C0E2-4370-8D6E-52C7F8DEE541}"/>
</file>

<file path=customXml/itemProps3.xml><?xml version="1.0" encoding="utf-8"?>
<ds:datastoreItem xmlns:ds="http://schemas.openxmlformats.org/officeDocument/2006/customXml" ds:itemID="{CB843CD1-C01F-4926-9BD4-78EC6265A384}"/>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1900-01-01T06:00:00Z</dcterms:created>
  <dcterms:modified xsi:type="dcterms:W3CDTF">1900-01-01T06:00:00Z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0x010100BBE5668963849142872C63627D7CAAAE</vt:lpwstr>
  </property>
</Properties>
</file>